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B3" w:rsidRDefault="009A0EB3" w:rsidP="00816E4C">
      <w:pPr>
        <w:pStyle w:val="Heading4"/>
      </w:pPr>
      <w:bookmarkStart w:id="0" w:name="_GoBack"/>
      <w:bookmarkEnd w:id="0"/>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2726A8" w:rsidRDefault="009A0EB3" w:rsidP="009A0EB3">
      <w:pPr>
        <w:spacing w:line="20" w:lineRule="atLeast"/>
        <w:jc w:val="center"/>
        <w:outlineLvl w:val="0"/>
        <w:rPr>
          <w:rFonts w:ascii="Garamond" w:hAnsi="Garamond"/>
          <w:b/>
          <w:color w:val="000080"/>
          <w:sz w:val="144"/>
          <w:szCs w:val="144"/>
        </w:rPr>
      </w:pPr>
      <w:r w:rsidRPr="002726A8">
        <w:rPr>
          <w:rFonts w:ascii="Garamond" w:hAnsi="Garamond"/>
          <w:b/>
          <w:color w:val="000080"/>
          <w:sz w:val="144"/>
          <w:szCs w:val="144"/>
        </w:rPr>
        <w:t>SEBI</w:t>
      </w:r>
    </w:p>
    <w:p w:rsidR="009A0EB3" w:rsidRPr="002726A8" w:rsidRDefault="009A0EB3" w:rsidP="009A0EB3">
      <w:pPr>
        <w:spacing w:line="20" w:lineRule="atLeast"/>
        <w:jc w:val="center"/>
        <w:outlineLvl w:val="0"/>
        <w:rPr>
          <w:rFonts w:ascii="Garamond" w:hAnsi="Garamond"/>
          <w:b/>
          <w:color w:val="000080"/>
          <w:sz w:val="56"/>
          <w:szCs w:val="56"/>
        </w:rPr>
      </w:pPr>
      <w:r w:rsidRPr="002726A8">
        <w:rPr>
          <w:rFonts w:ascii="Garamond" w:hAnsi="Garamond"/>
          <w:b/>
          <w:color w:val="000080"/>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1254B4" w:rsidP="002C3645">
      <w:pPr>
        <w:spacing w:line="20" w:lineRule="atLeast"/>
        <w:jc w:val="center"/>
        <w:rPr>
          <w:rFonts w:ascii="Palatino Linotype" w:hAnsi="Palatino Linotype"/>
          <w:b/>
          <w:color w:val="FF0000"/>
          <w:sz w:val="22"/>
          <w:szCs w:val="22"/>
        </w:rPr>
      </w:pPr>
      <w:r>
        <w:rPr>
          <w:rFonts w:ascii="Palatino Linotype" w:hAnsi="Palatino Linotype"/>
          <w:b/>
          <w:color w:val="000080"/>
          <w:sz w:val="22"/>
          <w:szCs w:val="22"/>
        </w:rPr>
        <w:t>DECEMBER</w:t>
      </w:r>
      <w:r w:rsidR="001B5B2F">
        <w:rPr>
          <w:rFonts w:ascii="Palatino Linotype" w:hAnsi="Palatino Linotype"/>
          <w:b/>
          <w:color w:val="000080"/>
          <w:sz w:val="22"/>
          <w:szCs w:val="22"/>
        </w:rPr>
        <w:t xml:space="preserve"> </w:t>
      </w:r>
      <w:r w:rsidR="00074803">
        <w:rPr>
          <w:rFonts w:ascii="Palatino Linotype" w:hAnsi="Palatino Linotype"/>
          <w:b/>
          <w:color w:val="000080"/>
          <w:sz w:val="22"/>
          <w:szCs w:val="22"/>
        </w:rPr>
        <w:t>2</w:t>
      </w:r>
      <w:r w:rsidR="009B7E61">
        <w:rPr>
          <w:rFonts w:ascii="Palatino Linotype" w:hAnsi="Palatino Linotype"/>
          <w:b/>
          <w:color w:val="000080"/>
          <w:sz w:val="22"/>
          <w:szCs w:val="22"/>
        </w:rPr>
        <w:t>020</w:t>
      </w:r>
      <w:r w:rsidR="008E4467">
        <w:rPr>
          <w:rFonts w:ascii="Palatino Linotype" w:hAnsi="Palatino Linotype"/>
          <w:b/>
          <w:color w:val="000080"/>
          <w:sz w:val="22"/>
          <w:szCs w:val="22"/>
        </w:rPr>
        <w:t xml:space="preserve">   VOL. 1</w:t>
      </w:r>
      <w:r w:rsidR="00FE7EFC">
        <w:rPr>
          <w:rFonts w:ascii="Palatino Linotype" w:hAnsi="Palatino Linotype"/>
          <w:b/>
          <w:color w:val="000080"/>
          <w:sz w:val="22"/>
          <w:szCs w:val="22"/>
        </w:rPr>
        <w:t>8</w:t>
      </w:r>
      <w:r w:rsidR="008E4467">
        <w:rPr>
          <w:rFonts w:ascii="Palatino Linotype" w:hAnsi="Palatino Linotype"/>
          <w:b/>
          <w:color w:val="000080"/>
          <w:sz w:val="22"/>
          <w:szCs w:val="22"/>
        </w:rPr>
        <w:t xml:space="preserve">              </w:t>
      </w:r>
      <w:r w:rsidR="002C3645" w:rsidRPr="009A0EB3">
        <w:rPr>
          <w:rFonts w:ascii="Palatino Linotype" w:hAnsi="Palatino Linotype"/>
          <w:b/>
          <w:color w:val="000080"/>
          <w:sz w:val="22"/>
          <w:szCs w:val="22"/>
        </w:rPr>
        <w:t xml:space="preserve"> </w:t>
      </w:r>
      <w:r w:rsidR="00B20597">
        <w:rPr>
          <w:rFonts w:ascii="Palatino Linotype" w:hAnsi="Palatino Linotype"/>
          <w:b/>
          <w:color w:val="FF0000"/>
          <w:sz w:val="22"/>
          <w:szCs w:val="22"/>
        </w:rPr>
        <w:t xml:space="preserve">NUMBER </w:t>
      </w:r>
      <w:r w:rsidR="001B5B2F">
        <w:rPr>
          <w:rFonts w:ascii="Palatino Linotype" w:hAnsi="Palatino Linotype"/>
          <w:b/>
          <w:color w:val="FF0000"/>
          <w:sz w:val="22"/>
          <w:szCs w:val="22"/>
        </w:rPr>
        <w:t>1</w:t>
      </w:r>
      <w:r>
        <w:rPr>
          <w:rFonts w:ascii="Palatino Linotype" w:hAnsi="Palatino Linotype"/>
          <w:b/>
          <w:color w:val="FF0000"/>
          <w:sz w:val="22"/>
          <w:szCs w:val="22"/>
        </w:rPr>
        <w:t>2</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(LOGO)</w:t>
      </w: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Pr="009A0EB3" w:rsidRDefault="002E18B1"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434487" w:rsidRPr="009A0EB3" w:rsidRDefault="0043448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SECURITIES AND EXCHANGE BOARD OF INDIA</w:t>
      </w:r>
    </w:p>
    <w:p w:rsidR="002C3645" w:rsidRPr="009A0EB3" w:rsidRDefault="002C3645" w:rsidP="002C3645">
      <w:pPr>
        <w:spacing w:line="20" w:lineRule="atLeast"/>
        <w:jc w:val="both"/>
        <w:rPr>
          <w:rFonts w:ascii="Palatino Linotype" w:hAnsi="Palatino Linotype"/>
          <w:color w:val="FF0000"/>
          <w:sz w:val="22"/>
          <w:szCs w:val="22"/>
        </w:rPr>
      </w:pPr>
    </w:p>
    <w:p w:rsidR="009A0EB3" w:rsidRPr="009A0EB3" w:rsidRDefault="009A0EB3" w:rsidP="002C3645">
      <w:pPr>
        <w:spacing w:line="20" w:lineRule="atLeast"/>
        <w:rPr>
          <w:rFonts w:ascii="Palatino Linotype" w:hAnsi="Palatino Linotype"/>
          <w:b/>
          <w:sz w:val="22"/>
          <w:szCs w:val="22"/>
        </w:rPr>
      </w:pPr>
    </w:p>
    <w:p w:rsidR="002C3645" w:rsidRPr="009A0EB3" w:rsidRDefault="002C3645" w:rsidP="002C3645">
      <w:pPr>
        <w:spacing w:line="20" w:lineRule="atLeast"/>
        <w:rPr>
          <w:rFonts w:ascii="Palatino Linotype" w:hAnsi="Palatino Linotype"/>
          <w:b/>
          <w:sz w:val="22"/>
          <w:szCs w:val="22"/>
        </w:rPr>
      </w:pPr>
      <w:r w:rsidRPr="009A0EB3">
        <w:rPr>
          <w:rFonts w:ascii="Palatino Linotype" w:hAnsi="Palatino Linotype"/>
          <w:b/>
          <w:sz w:val="22"/>
          <w:szCs w:val="22"/>
        </w:rPr>
        <w:t xml:space="preserve">EDITORIAL COMMITTEE </w:t>
      </w:r>
      <w:r w:rsidR="009A0EB3" w:rsidRPr="009A0EB3">
        <w:rPr>
          <w:rFonts w:ascii="Palatino Linotype" w:hAnsi="Palatino Linotype"/>
          <w:b/>
          <w:sz w:val="22"/>
          <w:szCs w:val="22"/>
        </w:rPr>
        <w:br/>
      </w:r>
    </w:p>
    <w:p w:rsidR="00E4439E" w:rsidRDefault="00E4439E" w:rsidP="002C3645">
      <w:pPr>
        <w:spacing w:line="20" w:lineRule="atLeast"/>
        <w:jc w:val="both"/>
        <w:outlineLvl w:val="0"/>
        <w:rPr>
          <w:rFonts w:ascii="Palatino Linotype" w:hAnsi="Palatino Linotype"/>
          <w:b/>
          <w:sz w:val="22"/>
          <w:szCs w:val="22"/>
        </w:rPr>
      </w:pPr>
      <w:r w:rsidRPr="009E322F">
        <w:rPr>
          <w:rFonts w:ascii="Palatino Linotype" w:eastAsia="Times New Roman" w:hAnsi="Palatino Linotype"/>
          <w:b/>
          <w:sz w:val="22"/>
          <w:szCs w:val="22"/>
        </w:rPr>
        <w:t xml:space="preserve">Shri </w:t>
      </w:r>
      <w:r w:rsidRPr="00FE77E0">
        <w:rPr>
          <w:rFonts w:ascii="Palatino Linotype" w:eastAsia="Times New Roman" w:hAnsi="Palatino Linotype"/>
          <w:b/>
          <w:sz w:val="22"/>
          <w:szCs w:val="22"/>
        </w:rPr>
        <w:t>Amarjeet Singh</w:t>
      </w:r>
      <w:r w:rsidRPr="009A0EB3">
        <w:rPr>
          <w:rFonts w:ascii="Palatino Linotype" w:hAnsi="Palatino Linotype"/>
          <w:b/>
          <w:sz w:val="22"/>
          <w:szCs w:val="22"/>
        </w:rPr>
        <w:t xml:space="preserve"> </w:t>
      </w:r>
    </w:p>
    <w:p w:rsidR="002C3645" w:rsidRDefault="002C3645" w:rsidP="002C3645">
      <w:pPr>
        <w:spacing w:line="20" w:lineRule="atLeast"/>
        <w:jc w:val="both"/>
        <w:outlineLvl w:val="0"/>
        <w:rPr>
          <w:rFonts w:ascii="Palatino Linotype" w:hAnsi="Palatino Linotype"/>
          <w:b/>
          <w:sz w:val="22"/>
          <w:szCs w:val="22"/>
        </w:rPr>
      </w:pPr>
      <w:r w:rsidRPr="009A0EB3">
        <w:rPr>
          <w:rFonts w:ascii="Palatino Linotype" w:hAnsi="Palatino Linotype"/>
          <w:b/>
          <w:sz w:val="22"/>
          <w:szCs w:val="22"/>
        </w:rPr>
        <w:t xml:space="preserve">Dr. </w:t>
      </w:r>
      <w:r w:rsidR="004A4D62">
        <w:rPr>
          <w:rFonts w:ascii="Palatino Linotype" w:hAnsi="Palatino Linotype"/>
          <w:b/>
          <w:sz w:val="22"/>
          <w:szCs w:val="22"/>
        </w:rPr>
        <w:t xml:space="preserve"> </w:t>
      </w:r>
      <w:r w:rsidRPr="009A0EB3">
        <w:rPr>
          <w:rFonts w:ascii="Palatino Linotype" w:hAnsi="Palatino Linotype"/>
          <w:b/>
          <w:sz w:val="22"/>
          <w:szCs w:val="22"/>
        </w:rPr>
        <w:t>Prabhakar R. Patil</w:t>
      </w:r>
    </w:p>
    <w:p w:rsidR="00E71481"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 Prabhas Rath</w:t>
      </w:r>
    </w:p>
    <w:p w:rsidR="00012FAA" w:rsidRPr="009A0EB3" w:rsidRDefault="00012FAA"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Sangeeta Rathod</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Deepthi L.S.</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Dr.</w:t>
      </w:r>
      <w:r w:rsidR="002C3645" w:rsidRPr="009A0EB3">
        <w:rPr>
          <w:rFonts w:ascii="Palatino Linotype" w:hAnsi="Palatino Linotype"/>
          <w:b/>
          <w:sz w:val="22"/>
          <w:szCs w:val="22"/>
        </w:rPr>
        <w:t xml:space="preserve"> </w:t>
      </w:r>
      <w:r>
        <w:rPr>
          <w:rFonts w:ascii="Palatino Linotype" w:hAnsi="Palatino Linotype"/>
          <w:b/>
          <w:sz w:val="22"/>
          <w:szCs w:val="22"/>
        </w:rPr>
        <w:t xml:space="preserve"> Deepali Dixit</w:t>
      </w:r>
    </w:p>
    <w:p w:rsidR="002C3645"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w:t>
      </w:r>
      <w:r w:rsidR="002C3645" w:rsidRPr="009A0EB3">
        <w:rPr>
          <w:rFonts w:ascii="Palatino Linotype" w:hAnsi="Palatino Linotype"/>
          <w:b/>
          <w:sz w:val="22"/>
          <w:szCs w:val="22"/>
        </w:rPr>
        <w:t xml:space="preserve"> </w:t>
      </w:r>
      <w:r w:rsidR="00FD1851">
        <w:rPr>
          <w:rFonts w:ascii="Palatino Linotype" w:hAnsi="Palatino Linotype"/>
          <w:b/>
          <w:sz w:val="22"/>
          <w:szCs w:val="22"/>
        </w:rPr>
        <w:t>Jitendra Kumar</w:t>
      </w:r>
    </w:p>
    <w:p w:rsidR="002C3645" w:rsidRPr="009A0EB3" w:rsidRDefault="002C3645" w:rsidP="002C3645">
      <w:pPr>
        <w:spacing w:line="20" w:lineRule="atLeast"/>
        <w:jc w:val="both"/>
        <w:outlineLvl w:val="0"/>
        <w:rPr>
          <w:rFonts w:ascii="Palatino Linotype" w:hAnsi="Palatino Linotype"/>
          <w:b/>
          <w:sz w:val="22"/>
          <w:szCs w:val="22"/>
        </w:rPr>
      </w:pPr>
    </w:p>
    <w:p w:rsidR="002C3645" w:rsidRPr="009A0EB3" w:rsidRDefault="002C3645" w:rsidP="002C3645">
      <w:pPr>
        <w:spacing w:line="20" w:lineRule="atLeast"/>
        <w:jc w:val="both"/>
        <w:rPr>
          <w:rFonts w:ascii="Palatino Linotype" w:hAnsi="Palatino Linotype"/>
          <w:sz w:val="22"/>
          <w:szCs w:val="22"/>
        </w:rPr>
      </w:pPr>
    </w:p>
    <w:p w:rsidR="002C3645" w:rsidRPr="009A0EB3" w:rsidRDefault="002C3645" w:rsidP="002C3645">
      <w:pPr>
        <w:spacing w:line="20" w:lineRule="atLeast"/>
        <w:jc w:val="both"/>
        <w:rPr>
          <w:rFonts w:ascii="Palatino Linotype" w:hAnsi="Palatino Linotype"/>
          <w:sz w:val="22"/>
          <w:szCs w:val="22"/>
        </w:rPr>
      </w:pPr>
      <w:r w:rsidRPr="009A0EB3">
        <w:rPr>
          <w:rFonts w:ascii="Palatino Linotype" w:hAnsi="Palatino Linotype"/>
          <w:sz w:val="22"/>
          <w:szCs w:val="22"/>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w:t>
      </w:r>
      <w:r w:rsidRPr="009A0EB3">
        <w:rPr>
          <w:rFonts w:ascii="Palatino Linotype" w:hAnsi="Palatino Linotype"/>
          <w:bCs/>
          <w:sz w:val="22"/>
          <w:szCs w:val="22"/>
        </w:rPr>
        <w:t xml:space="preserve">A readable version of SEBI Bulletin is available at </w:t>
      </w:r>
      <w:hyperlink r:id="rId10" w:history="1">
        <w:r w:rsidRPr="009A0EB3">
          <w:rPr>
            <w:rFonts w:ascii="Palatino Linotype" w:hAnsi="Palatino Linotype"/>
            <w:bCs/>
            <w:sz w:val="22"/>
            <w:szCs w:val="22"/>
          </w:rPr>
          <w:t>http://www.sebi.gov.in</w:t>
        </w:r>
      </w:hyperlink>
      <w:r w:rsidRPr="009A0EB3">
        <w:rPr>
          <w:rFonts w:ascii="Palatino Linotype" w:hAnsi="Palatino Linotype"/>
          <w:bCs/>
          <w:sz w:val="22"/>
          <w:szCs w:val="22"/>
        </w:rPr>
        <w:t xml:space="preserve">. </w:t>
      </w:r>
      <w:r w:rsidR="00E71481">
        <w:rPr>
          <w:rFonts w:ascii="Palatino Linotype" w:hAnsi="Palatino Linotype"/>
          <w:bCs/>
          <w:sz w:val="22"/>
          <w:szCs w:val="22"/>
        </w:rPr>
        <w:t xml:space="preserve"> </w:t>
      </w:r>
      <w:r w:rsidR="00E71481" w:rsidRPr="00E71481">
        <w:rPr>
          <w:rFonts w:ascii="Palatino Linotype" w:hAnsi="Palatino Linotype"/>
          <w:bCs/>
          <w:sz w:val="22"/>
          <w:szCs w:val="22"/>
        </w:rPr>
        <w:t xml:space="preserve">Further,  soft copy of SEBI Bulletin is available free of cost to the subscribers/readers, who register at bulletin@sebi.gov.in along with their complete address. </w:t>
      </w:r>
      <w:r w:rsidRPr="009A0EB3">
        <w:rPr>
          <w:rFonts w:ascii="Palatino Linotype" w:hAnsi="Palatino Linotype"/>
          <w:bCs/>
          <w:sz w:val="22"/>
          <w:szCs w:val="22"/>
        </w:rPr>
        <w:t xml:space="preserve">Any comments and suggestions on any of the features/sections may be sent to </w:t>
      </w:r>
      <w:hyperlink r:id="rId11" w:history="1">
        <w:r w:rsidRPr="009A0EB3">
          <w:rPr>
            <w:rFonts w:ascii="Palatino Linotype" w:hAnsi="Palatino Linotype"/>
            <w:bCs/>
            <w:sz w:val="22"/>
            <w:szCs w:val="22"/>
          </w:rPr>
          <w:t>bulletin@sebi.gov.in</w:t>
        </w:r>
      </w:hyperlink>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Pr="009A0EB3" w:rsidRDefault="000254CD"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EB52C5" w:rsidRDefault="00EB52C5" w:rsidP="00B25DA6">
      <w:pPr>
        <w:jc w:val="center"/>
        <w:outlineLvl w:val="0"/>
        <w:rPr>
          <w:rFonts w:ascii="Palatino Linotype" w:hAnsi="Palatino Linotype" w:cs="Helvetica"/>
          <w:b/>
          <w:color w:val="000099"/>
          <w:sz w:val="22"/>
          <w:szCs w:val="22"/>
        </w:rPr>
      </w:pPr>
    </w:p>
    <w:p w:rsidR="00EB52C5" w:rsidRPr="009A0EB3" w:rsidRDefault="00EB52C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632423"/>
          <w:sz w:val="22"/>
          <w:szCs w:val="22"/>
        </w:rPr>
      </w:pPr>
      <w:r w:rsidRPr="009A0EB3">
        <w:rPr>
          <w:rFonts w:ascii="Palatino Linotype" w:hAnsi="Palatino Linotype"/>
          <w:b/>
          <w:color w:val="632423"/>
          <w:sz w:val="22"/>
          <w:szCs w:val="22"/>
        </w:rPr>
        <w:t>CONTENTS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FE77E0" w:rsidRDefault="00FE77E0" w:rsidP="00FE77E0">
      <w:pPr>
        <w:spacing w:line="20" w:lineRule="atLeast"/>
        <w:jc w:val="both"/>
        <w:rPr>
          <w:rFonts w:ascii="Palatino Linotype" w:hAnsi="Palatino Linotype"/>
          <w:b/>
          <w:color w:val="0000FF"/>
          <w:sz w:val="22"/>
          <w:szCs w:val="22"/>
        </w:rPr>
      </w:pPr>
    </w:p>
    <w:p w:rsidR="001B5B2F" w:rsidRPr="00A36146" w:rsidRDefault="001B5B2F" w:rsidP="00A36146">
      <w:pPr>
        <w:spacing w:line="20" w:lineRule="atLeast"/>
        <w:jc w:val="both"/>
        <w:rPr>
          <w:rFonts w:ascii="Palatino Linotype" w:hAnsi="Palatino Linotype"/>
          <w:b/>
          <w:color w:val="0000FF"/>
          <w:sz w:val="22"/>
          <w:szCs w:val="22"/>
        </w:rPr>
      </w:pPr>
    </w:p>
    <w:p w:rsidR="002C3645" w:rsidRPr="009A0EB3" w:rsidRDefault="002C3645" w:rsidP="00F81232">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CAPITAL MARKET REVIEW</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REVIEW OF GLOBAL FINANCIAL MARKETS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HIGHLIGHTS OF DEVELOPMENTS IN INTERNATIONAL SECURITIES MARKET</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POLICY DEVELOPMENTS </w:t>
      </w:r>
      <w:r w:rsidR="00E71481">
        <w:rPr>
          <w:rFonts w:ascii="Palatino Linotype" w:hAnsi="Palatino Linotype"/>
          <w:b/>
          <w:color w:val="0000FF"/>
          <w:sz w:val="22"/>
          <w:szCs w:val="22"/>
        </w:rPr>
        <w:t>AT SEBI</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REGULATORY ACTIONS TAKEN BY SEBI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TABLES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PUBLICATIONS</w:t>
      </w: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CA637F" w:rsidRDefault="00CA637F" w:rsidP="001A42AC">
      <w:pPr>
        <w:spacing w:line="360" w:lineRule="auto"/>
        <w:jc w:val="center"/>
        <w:outlineLvl w:val="0"/>
        <w:rPr>
          <w:rFonts w:ascii="Palatino Linotype" w:hAnsi="Palatino Linotype" w:cs="Helvetica"/>
          <w:b/>
          <w:sz w:val="22"/>
          <w:szCs w:val="22"/>
        </w:rPr>
      </w:pPr>
    </w:p>
    <w:p w:rsidR="001A42AC" w:rsidRDefault="001A42AC" w:rsidP="007547DA">
      <w:pPr>
        <w:jc w:val="center"/>
        <w:outlineLvl w:val="0"/>
        <w:rPr>
          <w:rFonts w:ascii="Palatino Linotype" w:hAnsi="Palatino Linotype" w:cs="Helvetica"/>
          <w:b/>
          <w:color w:val="000099"/>
          <w:sz w:val="28"/>
          <w:szCs w:val="28"/>
        </w:rPr>
      </w:pPr>
    </w:p>
    <w:p w:rsidR="007547DA" w:rsidRPr="009A0EB3" w:rsidRDefault="007547DA" w:rsidP="007547DA">
      <w:pPr>
        <w:jc w:val="center"/>
        <w:outlineLvl w:val="0"/>
        <w:rPr>
          <w:rFonts w:ascii="Palatino Linotype" w:hAnsi="Palatino Linotype" w:cs="Helvetica"/>
          <w:b/>
          <w:color w:val="000099"/>
          <w:sz w:val="28"/>
          <w:szCs w:val="28"/>
        </w:rPr>
      </w:pPr>
      <w:r w:rsidRPr="009A0EB3">
        <w:rPr>
          <w:rFonts w:ascii="Palatino Linotype" w:hAnsi="Palatino Linotype" w:cs="Helvetica"/>
          <w:b/>
          <w:color w:val="000099"/>
          <w:sz w:val="28"/>
          <w:szCs w:val="28"/>
        </w:rPr>
        <w:t>CAPITAL MARKET REVIEW</w:t>
      </w:r>
    </w:p>
    <w:p w:rsidR="007547DA" w:rsidRPr="009A0EB3" w:rsidRDefault="007547DA" w:rsidP="007547DA">
      <w:pPr>
        <w:jc w:val="center"/>
        <w:outlineLvl w:val="0"/>
        <w:rPr>
          <w:rFonts w:ascii="Palatino Linotype" w:hAnsi="Palatino Linotype" w:cs="Helvetica"/>
          <w:b/>
          <w:color w:val="000099"/>
          <w:sz w:val="22"/>
          <w:szCs w:val="22"/>
        </w:rPr>
      </w:pPr>
    </w:p>
    <w:p w:rsidR="007547DA" w:rsidRPr="009A0EB3" w:rsidRDefault="007547DA" w:rsidP="007547DA">
      <w:pPr>
        <w:jc w:val="both"/>
        <w:rPr>
          <w:rFonts w:ascii="Palatino Linotype" w:hAnsi="Palatino Linotype"/>
          <w:sz w:val="22"/>
          <w:szCs w:val="22"/>
          <w:highlight w:val="yellow"/>
        </w:rPr>
      </w:pPr>
    </w:p>
    <w:p w:rsidR="00BB43D3" w:rsidRPr="006C6C07" w:rsidRDefault="00BB43D3" w:rsidP="00BB43D3">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 xml:space="preserve">Trends in Resource Mobilisation by Corporates  </w:t>
      </w:r>
    </w:p>
    <w:p w:rsidR="00BB43D3" w:rsidRPr="00C21F81" w:rsidRDefault="00BB43D3" w:rsidP="00BB43D3">
      <w:pPr>
        <w:widowControl w:val="0"/>
        <w:spacing w:line="276" w:lineRule="auto"/>
        <w:jc w:val="both"/>
        <w:rPr>
          <w:rFonts w:ascii="Palatino Linotype" w:eastAsia="Palatino Linotype" w:hAnsi="Palatino Linotype" w:cs="Palatino Linotype"/>
          <w:b/>
          <w:color w:val="2E74B5"/>
          <w:sz w:val="22"/>
          <w:szCs w:val="22"/>
        </w:rPr>
      </w:pPr>
    </w:p>
    <w:p w:rsidR="00BB43D3" w:rsidRPr="006C6C07" w:rsidRDefault="00BB43D3" w:rsidP="00BB43D3">
      <w:pPr>
        <w:widowControl w:val="0"/>
        <w:spacing w:line="276" w:lineRule="auto"/>
        <w:jc w:val="both"/>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Table 1: Fund Mobilisation by Corporates (</w:t>
      </w:r>
      <w:r w:rsidRPr="006C6C07">
        <w:rPr>
          <w:rFonts w:ascii="Tahoma" w:eastAsia="Tahoma" w:hAnsi="Tahoma" w:cs="Tahoma"/>
          <w:b/>
          <w:sz w:val="22"/>
          <w:szCs w:val="22"/>
        </w:rPr>
        <w:t>₹</w:t>
      </w:r>
      <w:r w:rsidRPr="006C6C07">
        <w:rPr>
          <w:rFonts w:ascii="Palatino Linotype" w:eastAsia="Palatino Linotype" w:hAnsi="Palatino Linotype" w:cs="Palatino Linotype"/>
          <w:b/>
          <w:sz w:val="22"/>
          <w:szCs w:val="22"/>
        </w:rPr>
        <w:t xml:space="preserve">crore) </w:t>
      </w:r>
    </w:p>
    <w:tbl>
      <w:tblPr>
        <w:tblW w:w="8204" w:type="dxa"/>
        <w:tblInd w:w="93" w:type="dxa"/>
        <w:tblLook w:val="04A0" w:firstRow="1" w:lastRow="0" w:firstColumn="1" w:lastColumn="0" w:noHBand="0" w:noVBand="1"/>
      </w:tblPr>
      <w:tblGrid>
        <w:gridCol w:w="5140"/>
        <w:gridCol w:w="1538"/>
        <w:gridCol w:w="1513"/>
        <w:gridCol w:w="13"/>
      </w:tblGrid>
      <w:tr w:rsidR="00BB43D3" w:rsidRPr="00C21F81" w:rsidTr="0001273A">
        <w:trPr>
          <w:gridAfter w:val="1"/>
          <w:wAfter w:w="13" w:type="dxa"/>
          <w:trHeight w:val="315"/>
        </w:trPr>
        <w:tc>
          <w:tcPr>
            <w:tcW w:w="5140" w:type="dxa"/>
            <w:tcBorders>
              <w:top w:val="single" w:sz="4" w:space="0" w:color="000000"/>
              <w:left w:val="single" w:sz="4" w:space="0" w:color="000000"/>
              <w:bottom w:val="single" w:sz="4" w:space="0" w:color="000000"/>
              <w:right w:val="single" w:sz="4" w:space="0" w:color="000000"/>
            </w:tcBorders>
            <w:shd w:val="clear" w:color="A9D08E" w:fill="A9D08E"/>
            <w:noWrap/>
            <w:vAlign w:val="center"/>
            <w:hideMark/>
          </w:tcPr>
          <w:p w:rsidR="00BB43D3" w:rsidRPr="006C6C07" w:rsidRDefault="00BB43D3" w:rsidP="0001273A">
            <w:pPr>
              <w:rPr>
                <w:rFonts w:ascii="Palatino Linotype" w:eastAsia="Times New Roman" w:hAnsi="Palatino Linotype"/>
                <w:b/>
                <w:bCs/>
                <w:sz w:val="20"/>
                <w:szCs w:val="22"/>
                <w:lang w:val="en-US"/>
              </w:rPr>
            </w:pPr>
            <w:r w:rsidRPr="006C6C07">
              <w:rPr>
                <w:rFonts w:ascii="Palatino Linotype" w:eastAsia="Times New Roman" w:hAnsi="Palatino Linotype"/>
                <w:b/>
                <w:bCs/>
                <w:sz w:val="20"/>
                <w:szCs w:val="22"/>
                <w:lang w:val="en-US"/>
              </w:rPr>
              <w:t>Particulars</w:t>
            </w:r>
          </w:p>
        </w:tc>
        <w:tc>
          <w:tcPr>
            <w:tcW w:w="1538" w:type="dxa"/>
            <w:tcBorders>
              <w:top w:val="single" w:sz="4" w:space="0" w:color="000000"/>
              <w:left w:val="nil"/>
              <w:bottom w:val="single" w:sz="4" w:space="0" w:color="000000"/>
              <w:right w:val="single" w:sz="4" w:space="0" w:color="000000"/>
            </w:tcBorders>
            <w:shd w:val="clear" w:color="A9D08E" w:fill="A9D08E"/>
            <w:noWrap/>
            <w:vAlign w:val="center"/>
            <w:hideMark/>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Oct-20</w:t>
            </w:r>
          </w:p>
        </w:tc>
        <w:tc>
          <w:tcPr>
            <w:tcW w:w="1513" w:type="dxa"/>
            <w:tcBorders>
              <w:top w:val="single" w:sz="4" w:space="0" w:color="000000"/>
              <w:left w:val="nil"/>
              <w:bottom w:val="single" w:sz="4" w:space="0" w:color="000000"/>
              <w:right w:val="single" w:sz="4" w:space="0" w:color="000000"/>
            </w:tcBorders>
            <w:shd w:val="clear" w:color="A9D08E" w:fill="A9D08E"/>
            <w:noWrap/>
            <w:vAlign w:val="center"/>
            <w:hideMark/>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Nov-20</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single" w:sz="4" w:space="0" w:color="000000"/>
            </w:tcBorders>
            <w:shd w:val="clear" w:color="000000" w:fill="B6DDE8"/>
            <w:noWrap/>
            <w:vAlign w:val="center"/>
            <w:hideMark/>
          </w:tcPr>
          <w:p w:rsidR="00BB43D3" w:rsidRPr="006C6C07" w:rsidRDefault="00BB43D3" w:rsidP="0001273A">
            <w:pPr>
              <w:rPr>
                <w:rFonts w:ascii="Palatino Linotype" w:eastAsia="Times New Roman" w:hAnsi="Palatino Linotype"/>
                <w:b/>
                <w:bCs/>
                <w:i/>
                <w:iCs/>
                <w:sz w:val="20"/>
                <w:szCs w:val="22"/>
                <w:lang w:val="en-US"/>
              </w:rPr>
            </w:pPr>
            <w:r w:rsidRPr="006C6C07">
              <w:rPr>
                <w:rFonts w:ascii="Palatino Linotype" w:eastAsia="Times New Roman" w:hAnsi="Palatino Linotype"/>
                <w:b/>
                <w:bCs/>
                <w:i/>
                <w:iCs/>
                <w:sz w:val="20"/>
                <w:szCs w:val="22"/>
                <w:lang w:val="en-US"/>
              </w:rPr>
              <w:t>A. Funds Mobilisation through Public  Issue (I+II)</w:t>
            </w:r>
          </w:p>
        </w:tc>
        <w:tc>
          <w:tcPr>
            <w:tcW w:w="1538" w:type="dxa"/>
            <w:tcBorders>
              <w:top w:val="nil"/>
              <w:left w:val="nil"/>
              <w:bottom w:val="single" w:sz="4" w:space="0" w:color="000000"/>
              <w:right w:val="single" w:sz="4" w:space="0" w:color="000000"/>
            </w:tcBorders>
            <w:shd w:val="clear" w:color="000000" w:fill="B6DDE8"/>
            <w:noWrap/>
            <w:vAlign w:val="center"/>
            <w:hideMark/>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9,137.6</w:t>
            </w:r>
          </w:p>
        </w:tc>
        <w:tc>
          <w:tcPr>
            <w:tcW w:w="1513" w:type="dxa"/>
            <w:tcBorders>
              <w:top w:val="nil"/>
              <w:left w:val="nil"/>
              <w:bottom w:val="single" w:sz="4" w:space="0" w:color="000000"/>
              <w:right w:val="single" w:sz="4" w:space="0" w:color="000000"/>
            </w:tcBorders>
            <w:shd w:val="clear" w:color="000000" w:fill="B6DDE8"/>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7,212.6</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nil"/>
            </w:tcBorders>
            <w:shd w:val="clear" w:color="auto" w:fill="auto"/>
            <w:vAlign w:val="center"/>
            <w:hideMark/>
          </w:tcPr>
          <w:p w:rsidR="00BB43D3" w:rsidRPr="006C6C07" w:rsidRDefault="00BB43D3" w:rsidP="0001273A">
            <w:pPr>
              <w:rPr>
                <w:rFonts w:ascii="Palatino Linotype" w:eastAsia="Times New Roman" w:hAnsi="Palatino Linotype"/>
                <w:b/>
                <w:bCs/>
                <w:i/>
                <w:iCs/>
                <w:sz w:val="20"/>
                <w:szCs w:val="22"/>
                <w:lang w:val="en-US"/>
              </w:rPr>
            </w:pPr>
            <w:r w:rsidRPr="006C6C07">
              <w:rPr>
                <w:rFonts w:ascii="Palatino Linotype" w:eastAsia="Times New Roman" w:hAnsi="Palatino Linotype"/>
                <w:b/>
                <w:bCs/>
                <w:i/>
                <w:iCs/>
                <w:sz w:val="20"/>
                <w:szCs w:val="22"/>
                <w:lang w:val="en-US"/>
              </w:rPr>
              <w:t>I. Equity Public Issue</w:t>
            </w:r>
          </w:p>
        </w:tc>
        <w:tc>
          <w:tcPr>
            <w:tcW w:w="1538" w:type="dxa"/>
            <w:tcBorders>
              <w:top w:val="nil"/>
              <w:left w:val="single" w:sz="4" w:space="0" w:color="000000"/>
              <w:bottom w:val="single" w:sz="4" w:space="0" w:color="000000"/>
              <w:right w:val="single" w:sz="4" w:space="0" w:color="000000"/>
            </w:tcBorders>
            <w:shd w:val="clear" w:color="auto" w:fill="auto"/>
            <w:noWrap/>
            <w:vAlign w:val="center"/>
            <w:hideMark/>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6,440.6</w:t>
            </w:r>
          </w:p>
        </w:tc>
        <w:tc>
          <w:tcPr>
            <w:tcW w:w="1513" w:type="dxa"/>
            <w:tcBorders>
              <w:top w:val="nil"/>
              <w:left w:val="nil"/>
              <w:bottom w:val="single" w:sz="4" w:space="0" w:color="000000"/>
              <w:right w:val="single" w:sz="4" w:space="0" w:color="000000"/>
            </w:tcBorders>
            <w:shd w:val="clear" w:color="auto" w:fill="auto"/>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7,070.0</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BB43D3" w:rsidRPr="006C6C07" w:rsidRDefault="00BB43D3" w:rsidP="0001273A">
            <w:pPr>
              <w:rPr>
                <w:rFonts w:ascii="Palatino Linotype" w:eastAsia="Times New Roman" w:hAnsi="Palatino Linotype"/>
                <w:b/>
                <w:bCs/>
                <w:sz w:val="20"/>
                <w:szCs w:val="22"/>
                <w:lang w:val="en-US"/>
              </w:rPr>
            </w:pPr>
            <w:r w:rsidRPr="006C6C07">
              <w:rPr>
                <w:rFonts w:ascii="Palatino Linotype" w:eastAsia="Times New Roman" w:hAnsi="Palatino Linotype"/>
                <w:b/>
                <w:bCs/>
                <w:sz w:val="20"/>
                <w:szCs w:val="22"/>
                <w:lang w:val="en-US"/>
              </w:rPr>
              <w:t>a. IPOs (i+ii)</w:t>
            </w:r>
          </w:p>
        </w:tc>
        <w:tc>
          <w:tcPr>
            <w:tcW w:w="1538" w:type="dxa"/>
            <w:tcBorders>
              <w:top w:val="nil"/>
              <w:left w:val="nil"/>
              <w:bottom w:val="single" w:sz="4" w:space="0" w:color="auto"/>
              <w:right w:val="single" w:sz="4" w:space="0" w:color="auto"/>
            </w:tcBorders>
            <w:shd w:val="clear" w:color="auto" w:fill="auto"/>
            <w:noWrap/>
            <w:vAlign w:val="center"/>
            <w:hideMark/>
          </w:tcPr>
          <w:p w:rsidR="00BB43D3" w:rsidRPr="00C21F81" w:rsidRDefault="00BB43D3" w:rsidP="0001273A">
            <w:pPr>
              <w:jc w:val="right"/>
              <w:rPr>
                <w:rFonts w:ascii="Palatino Linotype" w:hAnsi="Palatino Linotype"/>
                <w:sz w:val="22"/>
                <w:szCs w:val="22"/>
              </w:rPr>
            </w:pPr>
            <w:r w:rsidRPr="00C21F81">
              <w:rPr>
                <w:rFonts w:ascii="Palatino Linotype" w:hAnsi="Palatino Linotype"/>
                <w:sz w:val="22"/>
                <w:szCs w:val="22"/>
              </w:rPr>
              <w:t>5,887.1</w:t>
            </w:r>
          </w:p>
        </w:tc>
        <w:tc>
          <w:tcPr>
            <w:tcW w:w="1513" w:type="dxa"/>
            <w:tcBorders>
              <w:top w:val="nil"/>
              <w:left w:val="nil"/>
              <w:bottom w:val="single" w:sz="4" w:space="0" w:color="auto"/>
              <w:right w:val="single" w:sz="4" w:space="0" w:color="auto"/>
            </w:tcBorders>
            <w:shd w:val="clear" w:color="auto" w:fill="auto"/>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6,998.7</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BB43D3" w:rsidRPr="006C6C07" w:rsidRDefault="00BB43D3" w:rsidP="0001273A">
            <w:pPr>
              <w:rPr>
                <w:rFonts w:ascii="Palatino Linotype" w:eastAsia="Times New Roman" w:hAnsi="Palatino Linotype"/>
                <w:sz w:val="20"/>
                <w:szCs w:val="22"/>
                <w:lang w:val="en-US"/>
              </w:rPr>
            </w:pPr>
            <w:r w:rsidRPr="006C6C07">
              <w:rPr>
                <w:rFonts w:ascii="Palatino Linotype" w:eastAsia="Times New Roman" w:hAnsi="Palatino Linotype"/>
                <w:sz w:val="20"/>
                <w:szCs w:val="22"/>
                <w:lang w:val="en-US"/>
              </w:rPr>
              <w:t xml:space="preserve">    i. Main Board</w:t>
            </w:r>
          </w:p>
        </w:tc>
        <w:tc>
          <w:tcPr>
            <w:tcW w:w="1538" w:type="dxa"/>
            <w:tcBorders>
              <w:top w:val="nil"/>
              <w:left w:val="nil"/>
              <w:bottom w:val="single" w:sz="4" w:space="0" w:color="000000"/>
              <w:right w:val="single" w:sz="4" w:space="0" w:color="000000"/>
            </w:tcBorders>
            <w:shd w:val="clear" w:color="auto" w:fill="auto"/>
            <w:noWrap/>
            <w:vAlign w:val="center"/>
            <w:hideMark/>
          </w:tcPr>
          <w:p w:rsidR="00BB43D3" w:rsidRPr="00C21F81" w:rsidRDefault="00BB43D3" w:rsidP="0001273A">
            <w:pPr>
              <w:jc w:val="right"/>
              <w:rPr>
                <w:rFonts w:ascii="Palatino Linotype" w:hAnsi="Palatino Linotype"/>
                <w:sz w:val="22"/>
                <w:szCs w:val="22"/>
              </w:rPr>
            </w:pPr>
            <w:r w:rsidRPr="00C21F81">
              <w:rPr>
                <w:rFonts w:ascii="Palatino Linotype" w:hAnsi="Palatino Linotype"/>
                <w:sz w:val="22"/>
                <w:szCs w:val="22"/>
              </w:rPr>
              <w:t>5,824.9</w:t>
            </w:r>
          </w:p>
        </w:tc>
        <w:tc>
          <w:tcPr>
            <w:tcW w:w="1513" w:type="dxa"/>
            <w:tcBorders>
              <w:top w:val="nil"/>
              <w:left w:val="nil"/>
              <w:bottom w:val="single" w:sz="4" w:space="0" w:color="000000"/>
              <w:right w:val="single" w:sz="4" w:space="0" w:color="000000"/>
            </w:tcBorders>
            <w:shd w:val="clear" w:color="auto" w:fill="auto"/>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6,997.1</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BB43D3" w:rsidRPr="006C6C07" w:rsidRDefault="00BB43D3" w:rsidP="0001273A">
            <w:pPr>
              <w:rPr>
                <w:rFonts w:ascii="Palatino Linotype" w:eastAsia="Times New Roman" w:hAnsi="Palatino Linotype"/>
                <w:sz w:val="20"/>
                <w:szCs w:val="22"/>
                <w:lang w:val="en-US"/>
              </w:rPr>
            </w:pPr>
            <w:r w:rsidRPr="006C6C07">
              <w:rPr>
                <w:rFonts w:ascii="Palatino Linotype" w:eastAsia="Times New Roman" w:hAnsi="Palatino Linotype"/>
                <w:sz w:val="20"/>
                <w:szCs w:val="22"/>
                <w:lang w:val="en-US"/>
              </w:rPr>
              <w:t xml:space="preserve">    ii. SME Platform</w:t>
            </w:r>
          </w:p>
        </w:tc>
        <w:tc>
          <w:tcPr>
            <w:tcW w:w="1538" w:type="dxa"/>
            <w:tcBorders>
              <w:top w:val="nil"/>
              <w:left w:val="nil"/>
              <w:bottom w:val="single" w:sz="4" w:space="0" w:color="000000"/>
              <w:right w:val="single" w:sz="4" w:space="0" w:color="000000"/>
            </w:tcBorders>
            <w:shd w:val="clear" w:color="auto" w:fill="auto"/>
            <w:noWrap/>
            <w:vAlign w:val="center"/>
            <w:hideMark/>
          </w:tcPr>
          <w:p w:rsidR="00BB43D3" w:rsidRPr="00C21F81" w:rsidRDefault="00BB43D3" w:rsidP="0001273A">
            <w:pPr>
              <w:jc w:val="right"/>
              <w:rPr>
                <w:rFonts w:ascii="Palatino Linotype" w:hAnsi="Palatino Linotype"/>
                <w:sz w:val="22"/>
                <w:szCs w:val="22"/>
              </w:rPr>
            </w:pPr>
            <w:r w:rsidRPr="00C21F81">
              <w:rPr>
                <w:rFonts w:ascii="Palatino Linotype" w:hAnsi="Palatino Linotype"/>
                <w:sz w:val="22"/>
                <w:szCs w:val="22"/>
              </w:rPr>
              <w:t>62.3</w:t>
            </w:r>
          </w:p>
        </w:tc>
        <w:tc>
          <w:tcPr>
            <w:tcW w:w="1513" w:type="dxa"/>
            <w:tcBorders>
              <w:top w:val="nil"/>
              <w:left w:val="nil"/>
              <w:bottom w:val="single" w:sz="4" w:space="0" w:color="000000"/>
              <w:right w:val="single" w:sz="4" w:space="0" w:color="000000"/>
            </w:tcBorders>
            <w:shd w:val="clear" w:color="auto" w:fill="auto"/>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1.6</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BB43D3" w:rsidRPr="006C6C07" w:rsidRDefault="00BB43D3" w:rsidP="0001273A">
            <w:pPr>
              <w:rPr>
                <w:rFonts w:ascii="Palatino Linotype" w:eastAsia="Times New Roman" w:hAnsi="Palatino Linotype"/>
                <w:b/>
                <w:bCs/>
                <w:sz w:val="20"/>
                <w:szCs w:val="22"/>
                <w:lang w:val="en-US"/>
              </w:rPr>
            </w:pPr>
            <w:r w:rsidRPr="006C6C07">
              <w:rPr>
                <w:rFonts w:ascii="Palatino Linotype" w:eastAsia="Times New Roman" w:hAnsi="Palatino Linotype"/>
                <w:b/>
                <w:bCs/>
                <w:sz w:val="20"/>
                <w:szCs w:val="22"/>
                <w:lang w:val="en-US"/>
              </w:rPr>
              <w:t>b. FPOs</w:t>
            </w:r>
          </w:p>
        </w:tc>
        <w:tc>
          <w:tcPr>
            <w:tcW w:w="1538" w:type="dxa"/>
            <w:tcBorders>
              <w:top w:val="nil"/>
              <w:left w:val="nil"/>
              <w:bottom w:val="single" w:sz="4" w:space="0" w:color="000000"/>
              <w:right w:val="single" w:sz="4" w:space="0" w:color="000000"/>
            </w:tcBorders>
            <w:shd w:val="clear" w:color="auto" w:fill="auto"/>
            <w:noWrap/>
            <w:vAlign w:val="center"/>
            <w:hideMark/>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w:t>
            </w:r>
          </w:p>
        </w:tc>
        <w:tc>
          <w:tcPr>
            <w:tcW w:w="1513" w:type="dxa"/>
            <w:tcBorders>
              <w:top w:val="nil"/>
              <w:left w:val="nil"/>
              <w:bottom w:val="single" w:sz="4" w:space="0" w:color="000000"/>
              <w:right w:val="single" w:sz="4" w:space="0" w:color="000000"/>
            </w:tcBorders>
            <w:shd w:val="clear" w:color="auto" w:fill="auto"/>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BB43D3" w:rsidRPr="006C6C07" w:rsidRDefault="00BB43D3" w:rsidP="0001273A">
            <w:pPr>
              <w:rPr>
                <w:rFonts w:ascii="Palatino Linotype" w:eastAsia="Times New Roman" w:hAnsi="Palatino Linotype"/>
                <w:b/>
                <w:bCs/>
                <w:sz w:val="20"/>
                <w:szCs w:val="22"/>
                <w:lang w:val="en-US"/>
              </w:rPr>
            </w:pPr>
            <w:r w:rsidRPr="006C6C07">
              <w:rPr>
                <w:rFonts w:ascii="Palatino Linotype" w:eastAsia="Times New Roman" w:hAnsi="Palatino Linotype"/>
                <w:b/>
                <w:bCs/>
                <w:sz w:val="20"/>
                <w:szCs w:val="22"/>
                <w:lang w:val="en-US"/>
              </w:rPr>
              <w:t>c. Equity Right Issue</w:t>
            </w:r>
          </w:p>
        </w:tc>
        <w:tc>
          <w:tcPr>
            <w:tcW w:w="1538" w:type="dxa"/>
            <w:tcBorders>
              <w:top w:val="nil"/>
              <w:left w:val="nil"/>
              <w:bottom w:val="single" w:sz="4" w:space="0" w:color="000000"/>
              <w:right w:val="single" w:sz="4" w:space="0" w:color="000000"/>
            </w:tcBorders>
            <w:shd w:val="clear" w:color="auto" w:fill="auto"/>
            <w:noWrap/>
            <w:vAlign w:val="center"/>
            <w:hideMark/>
          </w:tcPr>
          <w:p w:rsidR="00BB43D3" w:rsidRPr="00C21F81" w:rsidRDefault="00BB43D3" w:rsidP="0001273A">
            <w:pPr>
              <w:jc w:val="right"/>
              <w:rPr>
                <w:rFonts w:ascii="Palatino Linotype" w:hAnsi="Palatino Linotype"/>
                <w:sz w:val="22"/>
                <w:szCs w:val="22"/>
              </w:rPr>
            </w:pPr>
            <w:r w:rsidRPr="00C21F81">
              <w:rPr>
                <w:rFonts w:ascii="Palatino Linotype" w:hAnsi="Palatino Linotype"/>
                <w:sz w:val="22"/>
                <w:szCs w:val="22"/>
              </w:rPr>
              <w:t>553.5</w:t>
            </w:r>
          </w:p>
        </w:tc>
        <w:tc>
          <w:tcPr>
            <w:tcW w:w="1513" w:type="dxa"/>
            <w:tcBorders>
              <w:top w:val="nil"/>
              <w:left w:val="nil"/>
              <w:bottom w:val="single" w:sz="4" w:space="0" w:color="000000"/>
              <w:right w:val="single" w:sz="4" w:space="0" w:color="000000"/>
            </w:tcBorders>
            <w:shd w:val="clear" w:color="auto" w:fill="auto"/>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71.3</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nil"/>
            </w:tcBorders>
            <w:shd w:val="clear" w:color="auto" w:fill="auto"/>
            <w:vAlign w:val="center"/>
            <w:hideMark/>
          </w:tcPr>
          <w:p w:rsidR="00BB43D3" w:rsidRPr="006C6C07" w:rsidRDefault="00BB43D3" w:rsidP="0001273A">
            <w:pPr>
              <w:rPr>
                <w:rFonts w:ascii="Palatino Linotype" w:eastAsia="Times New Roman" w:hAnsi="Palatino Linotype"/>
                <w:b/>
                <w:bCs/>
                <w:i/>
                <w:iCs/>
                <w:sz w:val="20"/>
                <w:szCs w:val="22"/>
                <w:lang w:val="en-US"/>
              </w:rPr>
            </w:pPr>
            <w:r w:rsidRPr="006C6C07">
              <w:rPr>
                <w:rFonts w:ascii="Palatino Linotype" w:eastAsia="Times New Roman" w:hAnsi="Palatino Linotype"/>
                <w:b/>
                <w:bCs/>
                <w:i/>
                <w:iCs/>
                <w:sz w:val="20"/>
                <w:szCs w:val="22"/>
                <w:lang w:val="en-US"/>
              </w:rPr>
              <w:t xml:space="preserve">II. Debt Public Issue </w:t>
            </w:r>
          </w:p>
        </w:tc>
        <w:tc>
          <w:tcPr>
            <w:tcW w:w="1538" w:type="dxa"/>
            <w:tcBorders>
              <w:top w:val="nil"/>
              <w:left w:val="single" w:sz="4" w:space="0" w:color="000000"/>
              <w:bottom w:val="single" w:sz="4" w:space="0" w:color="000000"/>
              <w:right w:val="single" w:sz="4" w:space="0" w:color="000000"/>
            </w:tcBorders>
            <w:shd w:val="clear" w:color="auto" w:fill="auto"/>
            <w:noWrap/>
            <w:vAlign w:val="center"/>
            <w:hideMark/>
          </w:tcPr>
          <w:p w:rsidR="00BB43D3" w:rsidRPr="00C21F81" w:rsidRDefault="00BB43D3" w:rsidP="0001273A">
            <w:pPr>
              <w:jc w:val="right"/>
              <w:rPr>
                <w:rFonts w:ascii="Palatino Linotype" w:hAnsi="Palatino Linotype"/>
                <w:sz w:val="22"/>
                <w:szCs w:val="22"/>
              </w:rPr>
            </w:pPr>
            <w:r w:rsidRPr="00C21F81">
              <w:rPr>
                <w:rFonts w:ascii="Palatino Linotype" w:hAnsi="Palatino Linotype"/>
                <w:sz w:val="22"/>
                <w:szCs w:val="22"/>
              </w:rPr>
              <w:t>2,697.0</w:t>
            </w:r>
          </w:p>
        </w:tc>
        <w:tc>
          <w:tcPr>
            <w:tcW w:w="1513" w:type="dxa"/>
            <w:tcBorders>
              <w:top w:val="nil"/>
              <w:left w:val="nil"/>
              <w:bottom w:val="single" w:sz="4" w:space="0" w:color="000000"/>
              <w:right w:val="single" w:sz="4" w:space="0" w:color="000000"/>
            </w:tcBorders>
            <w:shd w:val="clear" w:color="auto" w:fill="auto"/>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142.5</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single" w:sz="4" w:space="0" w:color="000000"/>
            </w:tcBorders>
            <w:shd w:val="clear" w:color="000000" w:fill="B6DDE8"/>
            <w:noWrap/>
            <w:vAlign w:val="center"/>
            <w:hideMark/>
          </w:tcPr>
          <w:p w:rsidR="00BB43D3" w:rsidRPr="006C6C07" w:rsidRDefault="00BB43D3" w:rsidP="0001273A">
            <w:pPr>
              <w:rPr>
                <w:rFonts w:ascii="Palatino Linotype" w:eastAsia="Times New Roman" w:hAnsi="Palatino Linotype"/>
                <w:b/>
                <w:bCs/>
                <w:i/>
                <w:iCs/>
                <w:sz w:val="20"/>
                <w:szCs w:val="22"/>
                <w:lang w:val="en-US"/>
              </w:rPr>
            </w:pPr>
            <w:r w:rsidRPr="006C6C07">
              <w:rPr>
                <w:rFonts w:ascii="Palatino Linotype" w:eastAsia="Times New Roman" w:hAnsi="Palatino Linotype"/>
                <w:b/>
                <w:bCs/>
                <w:i/>
                <w:iCs/>
                <w:sz w:val="20"/>
                <w:szCs w:val="22"/>
                <w:lang w:val="en-US"/>
              </w:rPr>
              <w:t>B. Funds Mobilisation through Private Placement</w:t>
            </w:r>
          </w:p>
        </w:tc>
        <w:tc>
          <w:tcPr>
            <w:tcW w:w="1538" w:type="dxa"/>
            <w:tcBorders>
              <w:top w:val="nil"/>
              <w:left w:val="nil"/>
              <w:bottom w:val="single" w:sz="4" w:space="0" w:color="000000"/>
              <w:right w:val="single" w:sz="4" w:space="0" w:color="000000"/>
            </w:tcBorders>
            <w:shd w:val="clear" w:color="000000" w:fill="B6DDE8"/>
            <w:noWrap/>
            <w:vAlign w:val="center"/>
            <w:hideMark/>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66,483.1</w:t>
            </w:r>
          </w:p>
        </w:tc>
        <w:tc>
          <w:tcPr>
            <w:tcW w:w="1513" w:type="dxa"/>
            <w:tcBorders>
              <w:top w:val="nil"/>
              <w:left w:val="nil"/>
              <w:bottom w:val="single" w:sz="4" w:space="0" w:color="000000"/>
              <w:right w:val="single" w:sz="4" w:space="0" w:color="000000"/>
            </w:tcBorders>
            <w:shd w:val="clear" w:color="000000" w:fill="B6DDE8"/>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52,803.8</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BB43D3" w:rsidRPr="006C6C07" w:rsidRDefault="00BB43D3" w:rsidP="0001273A">
            <w:pPr>
              <w:rPr>
                <w:rFonts w:ascii="Palatino Linotype" w:eastAsia="Times New Roman" w:hAnsi="Palatino Linotype"/>
                <w:sz w:val="20"/>
                <w:szCs w:val="22"/>
                <w:lang w:val="en-US"/>
              </w:rPr>
            </w:pPr>
            <w:r w:rsidRPr="006C6C07">
              <w:rPr>
                <w:rFonts w:ascii="Palatino Linotype" w:eastAsia="Times New Roman" w:hAnsi="Palatino Linotype"/>
                <w:sz w:val="20"/>
                <w:szCs w:val="22"/>
                <w:lang w:val="en-US"/>
              </w:rPr>
              <w:t>1. QIP/IPP</w:t>
            </w:r>
          </w:p>
        </w:tc>
        <w:tc>
          <w:tcPr>
            <w:tcW w:w="1538" w:type="dxa"/>
            <w:tcBorders>
              <w:top w:val="nil"/>
              <w:left w:val="nil"/>
              <w:bottom w:val="single" w:sz="4" w:space="0" w:color="000000"/>
              <w:right w:val="single" w:sz="4" w:space="0" w:color="000000"/>
            </w:tcBorders>
            <w:shd w:val="clear" w:color="auto" w:fill="auto"/>
            <w:noWrap/>
            <w:vAlign w:val="center"/>
            <w:hideMark/>
          </w:tcPr>
          <w:p w:rsidR="00BB43D3" w:rsidRPr="00C21F81" w:rsidRDefault="00BB43D3" w:rsidP="0001273A">
            <w:pPr>
              <w:jc w:val="right"/>
              <w:rPr>
                <w:rFonts w:ascii="Palatino Linotype" w:hAnsi="Palatino Linotype"/>
                <w:sz w:val="22"/>
                <w:szCs w:val="22"/>
              </w:rPr>
            </w:pPr>
            <w:r w:rsidRPr="00C21F81">
              <w:rPr>
                <w:rFonts w:ascii="Palatino Linotype" w:hAnsi="Palatino Linotype"/>
                <w:sz w:val="22"/>
                <w:szCs w:val="22"/>
              </w:rPr>
              <w:t>2,200.0</w:t>
            </w:r>
          </w:p>
        </w:tc>
        <w:tc>
          <w:tcPr>
            <w:tcW w:w="1513" w:type="dxa"/>
            <w:tcBorders>
              <w:top w:val="nil"/>
              <w:left w:val="nil"/>
              <w:bottom w:val="single" w:sz="4" w:space="0" w:color="000000"/>
              <w:right w:val="single" w:sz="4" w:space="0" w:color="000000"/>
            </w:tcBorders>
            <w:shd w:val="clear" w:color="auto" w:fill="auto"/>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250.0</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BB43D3" w:rsidRPr="006C6C07" w:rsidRDefault="00BB43D3" w:rsidP="0001273A">
            <w:pPr>
              <w:rPr>
                <w:rFonts w:ascii="Palatino Linotype" w:eastAsia="Times New Roman" w:hAnsi="Palatino Linotype"/>
                <w:sz w:val="20"/>
                <w:szCs w:val="22"/>
                <w:lang w:val="en-US"/>
              </w:rPr>
            </w:pPr>
            <w:r w:rsidRPr="006C6C07">
              <w:rPr>
                <w:rFonts w:ascii="Palatino Linotype" w:eastAsia="Times New Roman" w:hAnsi="Palatino Linotype"/>
                <w:sz w:val="20"/>
                <w:szCs w:val="22"/>
                <w:lang w:val="en-US"/>
              </w:rPr>
              <w:t>2. Preferential Allotment</w:t>
            </w:r>
          </w:p>
        </w:tc>
        <w:tc>
          <w:tcPr>
            <w:tcW w:w="1538" w:type="dxa"/>
            <w:tcBorders>
              <w:top w:val="nil"/>
              <w:left w:val="nil"/>
              <w:bottom w:val="single" w:sz="4" w:space="0" w:color="000000"/>
              <w:right w:val="single" w:sz="4" w:space="0" w:color="000000"/>
            </w:tcBorders>
            <w:shd w:val="clear" w:color="auto" w:fill="auto"/>
            <w:noWrap/>
            <w:vAlign w:val="center"/>
            <w:hideMark/>
          </w:tcPr>
          <w:p w:rsidR="00BB43D3" w:rsidRPr="00C21F81" w:rsidRDefault="00BB43D3" w:rsidP="0001273A">
            <w:pPr>
              <w:jc w:val="right"/>
              <w:rPr>
                <w:rFonts w:ascii="Palatino Linotype" w:hAnsi="Palatino Linotype"/>
                <w:sz w:val="22"/>
                <w:szCs w:val="22"/>
              </w:rPr>
            </w:pPr>
            <w:r w:rsidRPr="00C21F81">
              <w:rPr>
                <w:rFonts w:ascii="Palatino Linotype" w:hAnsi="Palatino Linotype"/>
                <w:sz w:val="22"/>
                <w:szCs w:val="22"/>
              </w:rPr>
              <w:t>1,952.3</w:t>
            </w:r>
          </w:p>
        </w:tc>
        <w:tc>
          <w:tcPr>
            <w:tcW w:w="1513" w:type="dxa"/>
            <w:tcBorders>
              <w:top w:val="nil"/>
              <w:left w:val="nil"/>
              <w:bottom w:val="single" w:sz="4" w:space="0" w:color="000000"/>
              <w:right w:val="single" w:sz="4" w:space="0" w:color="000000"/>
            </w:tcBorders>
            <w:shd w:val="clear" w:color="auto" w:fill="auto"/>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7,008.8</w:t>
            </w:r>
          </w:p>
        </w:tc>
      </w:tr>
      <w:tr w:rsidR="00BB43D3" w:rsidRPr="00C21F81" w:rsidTr="0001273A">
        <w:trPr>
          <w:gridAfter w:val="1"/>
          <w:wAfter w:w="13" w:type="dxa"/>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BB43D3" w:rsidRPr="006C6C07" w:rsidRDefault="00BB43D3" w:rsidP="0001273A">
            <w:pPr>
              <w:rPr>
                <w:rFonts w:ascii="Palatino Linotype" w:eastAsia="Times New Roman" w:hAnsi="Palatino Linotype"/>
                <w:sz w:val="20"/>
                <w:szCs w:val="22"/>
                <w:lang w:val="en-US"/>
              </w:rPr>
            </w:pPr>
            <w:r w:rsidRPr="006C6C07">
              <w:rPr>
                <w:rFonts w:ascii="Palatino Linotype" w:eastAsia="Times New Roman" w:hAnsi="Palatino Linotype"/>
                <w:sz w:val="20"/>
                <w:szCs w:val="22"/>
                <w:lang w:val="en-US"/>
              </w:rPr>
              <w:t>3. Private Placement of Debt</w:t>
            </w:r>
          </w:p>
        </w:tc>
        <w:tc>
          <w:tcPr>
            <w:tcW w:w="1538" w:type="dxa"/>
            <w:tcBorders>
              <w:top w:val="nil"/>
              <w:left w:val="nil"/>
              <w:bottom w:val="single" w:sz="4" w:space="0" w:color="000000"/>
              <w:right w:val="single" w:sz="4" w:space="0" w:color="000000"/>
            </w:tcBorders>
            <w:shd w:val="clear" w:color="auto" w:fill="auto"/>
            <w:noWrap/>
            <w:vAlign w:val="center"/>
            <w:hideMark/>
          </w:tcPr>
          <w:p w:rsidR="00BB43D3" w:rsidRPr="00C21F81" w:rsidRDefault="00BB43D3" w:rsidP="0001273A">
            <w:pPr>
              <w:jc w:val="right"/>
              <w:rPr>
                <w:rFonts w:ascii="Palatino Linotype" w:hAnsi="Palatino Linotype"/>
                <w:sz w:val="22"/>
                <w:szCs w:val="22"/>
              </w:rPr>
            </w:pPr>
            <w:r w:rsidRPr="00C21F81">
              <w:rPr>
                <w:rFonts w:ascii="Palatino Linotype" w:hAnsi="Palatino Linotype"/>
                <w:sz w:val="22"/>
                <w:szCs w:val="22"/>
              </w:rPr>
              <w:t>62,330.8</w:t>
            </w:r>
          </w:p>
        </w:tc>
        <w:tc>
          <w:tcPr>
            <w:tcW w:w="1513" w:type="dxa"/>
            <w:tcBorders>
              <w:top w:val="nil"/>
              <w:left w:val="nil"/>
              <w:bottom w:val="single" w:sz="4" w:space="0" w:color="000000"/>
              <w:right w:val="single" w:sz="4" w:space="0" w:color="000000"/>
            </w:tcBorders>
            <w:shd w:val="clear" w:color="auto" w:fill="auto"/>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45,545.0</w:t>
            </w:r>
          </w:p>
        </w:tc>
      </w:tr>
      <w:tr w:rsidR="00BB43D3" w:rsidRPr="00C21F81" w:rsidTr="0001273A">
        <w:trPr>
          <w:gridAfter w:val="1"/>
          <w:wAfter w:w="13" w:type="dxa"/>
          <w:trHeight w:val="315"/>
        </w:trPr>
        <w:tc>
          <w:tcPr>
            <w:tcW w:w="5140" w:type="dxa"/>
            <w:tcBorders>
              <w:top w:val="nil"/>
              <w:left w:val="single" w:sz="4" w:space="0" w:color="000000"/>
              <w:bottom w:val="single" w:sz="4" w:space="0" w:color="auto"/>
              <w:right w:val="single" w:sz="4" w:space="0" w:color="000000"/>
            </w:tcBorders>
            <w:shd w:val="clear" w:color="000000" w:fill="B6DDE8"/>
            <w:noWrap/>
            <w:vAlign w:val="center"/>
            <w:hideMark/>
          </w:tcPr>
          <w:p w:rsidR="00BB43D3" w:rsidRPr="006C6C07" w:rsidRDefault="00BB43D3" w:rsidP="0001273A">
            <w:pPr>
              <w:rPr>
                <w:rFonts w:ascii="Palatino Linotype" w:eastAsia="Times New Roman" w:hAnsi="Palatino Linotype"/>
                <w:b/>
                <w:bCs/>
                <w:sz w:val="20"/>
                <w:szCs w:val="22"/>
                <w:lang w:val="en-US"/>
              </w:rPr>
            </w:pPr>
            <w:r w:rsidRPr="006C6C07">
              <w:rPr>
                <w:rFonts w:ascii="Palatino Linotype" w:eastAsia="Times New Roman" w:hAnsi="Palatino Linotype"/>
                <w:b/>
                <w:bCs/>
                <w:sz w:val="20"/>
                <w:szCs w:val="22"/>
                <w:lang w:val="en-US"/>
              </w:rPr>
              <w:t>Total Funds Mobilised (A+B)</w:t>
            </w:r>
          </w:p>
        </w:tc>
        <w:tc>
          <w:tcPr>
            <w:tcW w:w="1538" w:type="dxa"/>
            <w:tcBorders>
              <w:top w:val="nil"/>
              <w:left w:val="nil"/>
              <w:bottom w:val="single" w:sz="4" w:space="0" w:color="auto"/>
              <w:right w:val="single" w:sz="4" w:space="0" w:color="000000"/>
            </w:tcBorders>
            <w:shd w:val="clear" w:color="000000" w:fill="B6DDE8"/>
            <w:noWrap/>
            <w:vAlign w:val="center"/>
            <w:hideMark/>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75,620.7</w:t>
            </w:r>
          </w:p>
        </w:tc>
        <w:tc>
          <w:tcPr>
            <w:tcW w:w="1513" w:type="dxa"/>
            <w:tcBorders>
              <w:top w:val="nil"/>
              <w:left w:val="nil"/>
              <w:bottom w:val="single" w:sz="4" w:space="0" w:color="auto"/>
              <w:right w:val="single" w:sz="4" w:space="0" w:color="000000"/>
            </w:tcBorders>
            <w:shd w:val="clear" w:color="000000" w:fill="B6DDE8"/>
            <w:noWrap/>
            <w:vAlign w:val="center"/>
          </w:tcPr>
          <w:p w:rsidR="00BB43D3" w:rsidRPr="00C21F81" w:rsidRDefault="00BB43D3" w:rsidP="0001273A">
            <w:pPr>
              <w:jc w:val="right"/>
              <w:rPr>
                <w:rFonts w:ascii="Palatino Linotype" w:hAnsi="Palatino Linotype"/>
                <w:b/>
                <w:bCs/>
                <w:sz w:val="22"/>
                <w:szCs w:val="22"/>
              </w:rPr>
            </w:pPr>
            <w:r w:rsidRPr="00C21F81">
              <w:rPr>
                <w:rFonts w:ascii="Palatino Linotype" w:hAnsi="Palatino Linotype"/>
                <w:b/>
                <w:bCs/>
                <w:sz w:val="22"/>
                <w:szCs w:val="22"/>
              </w:rPr>
              <w:t>60,016.3</w:t>
            </w:r>
          </w:p>
        </w:tc>
      </w:tr>
      <w:tr w:rsidR="00BB43D3" w:rsidRPr="00C21F81" w:rsidTr="0001273A">
        <w:trPr>
          <w:trHeight w:val="315"/>
        </w:trPr>
        <w:tc>
          <w:tcPr>
            <w:tcW w:w="8204" w:type="dxa"/>
            <w:gridSpan w:val="4"/>
            <w:tcBorders>
              <w:top w:val="single" w:sz="4" w:space="0" w:color="auto"/>
            </w:tcBorders>
            <w:shd w:val="clear" w:color="auto" w:fill="auto"/>
            <w:noWrap/>
            <w:vAlign w:val="center"/>
          </w:tcPr>
          <w:p w:rsidR="00BB43D3" w:rsidRPr="006C6C07" w:rsidRDefault="00BB43D3" w:rsidP="0001273A">
            <w:pPr>
              <w:tabs>
                <w:tab w:val="left" w:pos="509"/>
              </w:tabs>
              <w:jc w:val="both"/>
              <w:rPr>
                <w:rFonts w:ascii="Palatino Linotype" w:eastAsia="Times New Roman" w:hAnsi="Palatino Linotype" w:cs="Arial"/>
                <w:i/>
                <w:iCs/>
                <w:sz w:val="18"/>
                <w:szCs w:val="20"/>
                <w:lang w:val="en-IN" w:eastAsia="en-IN" w:bidi="hi-IN"/>
              </w:rPr>
            </w:pPr>
            <w:r w:rsidRPr="006C6C07">
              <w:rPr>
                <w:rFonts w:ascii="Palatino Linotype" w:eastAsia="Times New Roman" w:hAnsi="Palatino Linotype" w:cs="Arial"/>
                <w:i/>
                <w:iCs/>
                <w:sz w:val="18"/>
                <w:szCs w:val="20"/>
                <w:lang w:val="en-IN" w:eastAsia="en-IN" w:bidi="hi-IN"/>
              </w:rPr>
              <w:t>Note :</w:t>
            </w:r>
            <w:r w:rsidRPr="006C6C07">
              <w:rPr>
                <w:rFonts w:ascii="Palatino Linotype" w:eastAsia="Times New Roman" w:hAnsi="Palatino Linotype" w:cs="Arial"/>
                <w:i/>
                <w:iCs/>
                <w:sz w:val="18"/>
                <w:szCs w:val="20"/>
                <w:lang w:val="en-IN" w:eastAsia="en-IN" w:bidi="hi-IN"/>
              </w:rPr>
              <w:tab/>
              <w:t>1) Data for Debt-Public Issue is revised for October 2020</w:t>
            </w:r>
          </w:p>
          <w:p w:rsidR="00BB43D3" w:rsidRPr="006C6C07" w:rsidRDefault="00BB43D3" w:rsidP="0001273A">
            <w:pPr>
              <w:tabs>
                <w:tab w:val="left" w:pos="509"/>
              </w:tabs>
              <w:jc w:val="both"/>
              <w:rPr>
                <w:rFonts w:ascii="Palatino Linotype" w:eastAsia="Times New Roman" w:hAnsi="Palatino Linotype" w:cs="Arial"/>
                <w:i/>
                <w:iCs/>
                <w:sz w:val="18"/>
                <w:szCs w:val="20"/>
                <w:lang w:val="en-IN" w:eastAsia="en-IN" w:bidi="hi-IN"/>
              </w:rPr>
            </w:pPr>
            <w:r w:rsidRPr="006C6C07">
              <w:rPr>
                <w:rFonts w:ascii="Palatino Linotype" w:eastAsia="Times New Roman" w:hAnsi="Palatino Linotype" w:cs="Arial"/>
                <w:i/>
                <w:iCs/>
                <w:sz w:val="18"/>
                <w:szCs w:val="20"/>
                <w:lang w:val="en-IN" w:eastAsia="en-IN" w:bidi="hi-IN"/>
              </w:rPr>
              <w:tab/>
              <w:t>2) Data for Debt-Public Issue is as per the final post-issue reports obtained till December 08, 2020</w:t>
            </w:r>
          </w:p>
          <w:p w:rsidR="00BB43D3" w:rsidRPr="006C6C07" w:rsidRDefault="00BB43D3" w:rsidP="0001273A">
            <w:pPr>
              <w:tabs>
                <w:tab w:val="left" w:pos="509"/>
              </w:tabs>
              <w:jc w:val="both"/>
              <w:rPr>
                <w:rFonts w:ascii="Palatino Linotype" w:eastAsia="Times New Roman" w:hAnsi="Palatino Linotype" w:cs="Arial"/>
                <w:i/>
                <w:iCs/>
                <w:sz w:val="18"/>
                <w:szCs w:val="20"/>
                <w:lang w:val="en-IN" w:eastAsia="en-IN" w:bidi="hi-IN"/>
              </w:rPr>
            </w:pPr>
            <w:r w:rsidRPr="006C6C07">
              <w:rPr>
                <w:rFonts w:ascii="Palatino Linotype" w:eastAsia="Times New Roman" w:hAnsi="Palatino Linotype" w:cs="Arial"/>
                <w:i/>
                <w:iCs/>
                <w:sz w:val="18"/>
                <w:szCs w:val="20"/>
                <w:lang w:val="en-IN" w:eastAsia="en-IN" w:bidi="hi-IN"/>
              </w:rPr>
              <w:tab/>
              <w:t>3) Data for Preferential Allotment is revised to include MSEI Data for October 2020</w:t>
            </w:r>
          </w:p>
          <w:p w:rsidR="00BB43D3" w:rsidRPr="006C6C07" w:rsidRDefault="00BB43D3" w:rsidP="0001273A">
            <w:pPr>
              <w:widowControl w:val="0"/>
              <w:tabs>
                <w:tab w:val="right" w:pos="9888"/>
              </w:tabs>
              <w:spacing w:line="276" w:lineRule="auto"/>
              <w:jc w:val="both"/>
              <w:rPr>
                <w:rFonts w:ascii="Palatino Linotype" w:eastAsia="Palatino Linotype" w:hAnsi="Palatino Linotype" w:cs="Palatino Linotype"/>
                <w:b/>
                <w:sz w:val="18"/>
                <w:szCs w:val="18"/>
              </w:rPr>
            </w:pPr>
            <w:r w:rsidRPr="006C6C07">
              <w:rPr>
                <w:rFonts w:ascii="Palatino Linotype" w:eastAsia="Palatino Linotype" w:hAnsi="Palatino Linotype" w:cs="Palatino Linotype"/>
                <w:b/>
                <w:sz w:val="18"/>
                <w:szCs w:val="18"/>
              </w:rPr>
              <w:t>Source: SEBI, NSE, BSE and MSEI</w:t>
            </w:r>
          </w:p>
        </w:tc>
      </w:tr>
    </w:tbl>
    <w:p w:rsidR="00BB43D3" w:rsidRPr="006C6C07" w:rsidRDefault="00BB43D3" w:rsidP="00BB43D3">
      <w:pPr>
        <w:widowControl w:val="0"/>
        <w:tabs>
          <w:tab w:val="right" w:pos="9888"/>
        </w:tabs>
        <w:spacing w:line="276" w:lineRule="auto"/>
        <w:jc w:val="both"/>
        <w:rPr>
          <w:rFonts w:ascii="Palatino Linotype" w:eastAsia="Palatino Linotype" w:hAnsi="Palatino Linotype" w:cs="Palatino Linotype"/>
          <w:b/>
          <w:sz w:val="18"/>
          <w:szCs w:val="18"/>
        </w:rPr>
      </w:pP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November 2020, there were two Main Board IPO issues, </w:t>
      </w:r>
      <w:r w:rsidRPr="00A46360">
        <w:rPr>
          <w:rFonts w:ascii="Palatino Linotype" w:eastAsia="Palatino Linotype" w:hAnsi="Palatino Linotype" w:cs="Palatino Linotype"/>
          <w:sz w:val="22"/>
          <w:szCs w:val="22"/>
        </w:rPr>
        <w:t xml:space="preserve">one SME issue </w:t>
      </w:r>
      <w:r>
        <w:rPr>
          <w:rFonts w:ascii="Palatino Linotype" w:eastAsia="Palatino Linotype" w:hAnsi="Palatino Linotype" w:cs="Palatino Linotype"/>
          <w:sz w:val="22"/>
          <w:szCs w:val="22"/>
        </w:rPr>
        <w:t xml:space="preserve">and </w:t>
      </w:r>
      <w:r w:rsidRPr="006C6C07">
        <w:rPr>
          <w:rFonts w:ascii="Palatino Linotype" w:eastAsia="Palatino Linotype" w:hAnsi="Palatino Linotype" w:cs="Palatino Linotype"/>
          <w:sz w:val="22"/>
          <w:szCs w:val="22"/>
        </w:rPr>
        <w:t>one rights issue</w:t>
      </w:r>
      <w:r>
        <w:rPr>
          <w:rFonts w:ascii="Palatino Linotype" w:eastAsia="Palatino Linotype" w:hAnsi="Palatino Linotype" w:cs="Palatino Linotype"/>
          <w:sz w:val="22"/>
          <w:szCs w:val="22"/>
        </w:rPr>
        <w:t>,</w:t>
      </w:r>
      <w:r w:rsidRPr="006C6C07">
        <w:rPr>
          <w:rFonts w:ascii="Palatino Linotype" w:eastAsia="Palatino Linotype" w:hAnsi="Palatino Linotype" w:cs="Palatino Linotype"/>
          <w:sz w:val="22"/>
          <w:szCs w:val="22"/>
        </w:rPr>
        <w:t xml:space="preserve"> mobilising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6,99</w:t>
      </w:r>
      <w:r>
        <w:rPr>
          <w:rFonts w:ascii="Palatino Linotype" w:eastAsia="Palatino Linotype" w:hAnsi="Palatino Linotype" w:cs="Palatino Linotype"/>
          <w:sz w:val="22"/>
          <w:szCs w:val="22"/>
        </w:rPr>
        <w:t xml:space="preserve">7.1 </w:t>
      </w:r>
      <w:r w:rsidRPr="006C6C07">
        <w:rPr>
          <w:rFonts w:ascii="Palatino Linotype" w:eastAsia="Palatino Linotype" w:hAnsi="Palatino Linotype" w:cs="Palatino Linotype"/>
          <w:sz w:val="22"/>
          <w:szCs w:val="22"/>
        </w:rPr>
        <w:t xml:space="preserve">crore,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1.6 crore, and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7</w:t>
      </w:r>
      <w:r>
        <w:rPr>
          <w:rFonts w:ascii="Palatino Linotype" w:eastAsia="Palatino Linotype" w:hAnsi="Palatino Linotype" w:cs="Palatino Linotype"/>
          <w:sz w:val="22"/>
          <w:szCs w:val="22"/>
        </w:rPr>
        <w:t>1.3</w:t>
      </w:r>
      <w:r w:rsidRPr="006C6C07">
        <w:rPr>
          <w:rFonts w:ascii="Palatino Linotype" w:eastAsia="Palatino Linotype" w:hAnsi="Palatino Linotype" w:cs="Palatino Linotype"/>
          <w:sz w:val="22"/>
          <w:szCs w:val="22"/>
        </w:rPr>
        <w:t xml:space="preserve"> crore, respectively.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There was one public issue of corporate bond, amounting to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142.5 crore during November 2020.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November 2020, an amount of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7,258.8 crore was raised through private placement of equity (i.e., preferential allotment and QIP) against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4,152.3 crore during October 2020.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Private placement of corporate debt reported on BSE and NSE stood at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45,545.0 crore during </w:t>
      </w:r>
      <w:r>
        <w:rPr>
          <w:rFonts w:ascii="Palatino Linotype" w:eastAsia="Palatino Linotype" w:hAnsi="Palatino Linotype" w:cs="Palatino Linotype"/>
          <w:sz w:val="22"/>
          <w:szCs w:val="22"/>
        </w:rPr>
        <w:t>November</w:t>
      </w:r>
      <w:r w:rsidRPr="006C6C07">
        <w:rPr>
          <w:rFonts w:ascii="Palatino Linotype" w:eastAsia="Palatino Linotype" w:hAnsi="Palatino Linotype" w:cs="Palatino Linotype"/>
          <w:sz w:val="22"/>
          <w:szCs w:val="22"/>
        </w:rPr>
        <w:t xml:space="preserve"> 2020, compared to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62,330.8 crore during October 2020.  </w:t>
      </w:r>
    </w:p>
    <w:p w:rsidR="00BB43D3" w:rsidRPr="006C6C07" w:rsidRDefault="00BB43D3" w:rsidP="00BB43D3">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rsidR="00BB43D3" w:rsidRPr="006C6C07" w:rsidRDefault="00BB43D3" w:rsidP="00BB43D3">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Trends in the Secondary Market</w:t>
      </w:r>
    </w:p>
    <w:p w:rsidR="00BB43D3" w:rsidRPr="006C6C07" w:rsidRDefault="00BB43D3" w:rsidP="00BB43D3">
      <w:pPr>
        <w:widowControl w:val="0"/>
        <w:tabs>
          <w:tab w:val="left" w:pos="3915"/>
        </w:tabs>
        <w:spacing w:line="276" w:lineRule="auto"/>
        <w:jc w:val="both"/>
        <w:rPr>
          <w:rFonts w:ascii="Palatino Linotype" w:eastAsia="Palatino Linotype" w:hAnsi="Palatino Linotype" w:cs="Palatino Linotype"/>
          <w:b/>
          <w:sz w:val="22"/>
          <w:szCs w:val="22"/>
          <w:highlight w:val="yellow"/>
        </w:rPr>
      </w:pP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At the end of November 2020, Nifty 50 closed at 12,969 points registering an increase of 11.4 per cent as compared to the 11,642 points level at the end of October 2020.</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S&amp;P BSE Sensex closed at 44,1</w:t>
      </w:r>
      <w:r>
        <w:rPr>
          <w:rFonts w:ascii="Palatino Linotype" w:eastAsia="Palatino Linotype" w:hAnsi="Palatino Linotype" w:cs="Palatino Linotype"/>
          <w:sz w:val="22"/>
          <w:szCs w:val="22"/>
        </w:rPr>
        <w:t>50</w:t>
      </w:r>
      <w:r w:rsidRPr="006C6C07">
        <w:rPr>
          <w:rFonts w:ascii="Palatino Linotype" w:eastAsia="Palatino Linotype" w:hAnsi="Palatino Linotype" w:cs="Palatino Linotype"/>
          <w:sz w:val="22"/>
          <w:szCs w:val="22"/>
        </w:rPr>
        <w:t xml:space="preserve"> points at the end of November 2020, registering an increase of 11.5 per cent as compared to the 39,614 points level at the end of October 2020.</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Both, Nifty 50 and S&amp;P BSE Sensex reached their intraday high for the month, on November 25, 2020 with 13</w:t>
      </w:r>
      <w:r>
        <w:rPr>
          <w:rFonts w:ascii="Palatino Linotype" w:eastAsia="Palatino Linotype" w:hAnsi="Palatino Linotype" w:cs="Palatino Linotype"/>
          <w:sz w:val="22"/>
          <w:szCs w:val="22"/>
        </w:rPr>
        <w:t>,146</w:t>
      </w:r>
      <w:r w:rsidRPr="006C6C07">
        <w:rPr>
          <w:rFonts w:ascii="Palatino Linotype" w:eastAsia="Palatino Linotype" w:hAnsi="Palatino Linotype" w:cs="Palatino Linotype"/>
          <w:sz w:val="22"/>
          <w:szCs w:val="22"/>
        </w:rPr>
        <w:t xml:space="preserve"> points and 44</w:t>
      </w:r>
      <w:r>
        <w:rPr>
          <w:rFonts w:ascii="Palatino Linotype" w:eastAsia="Palatino Linotype" w:hAnsi="Palatino Linotype" w:cs="Palatino Linotype"/>
          <w:sz w:val="22"/>
          <w:szCs w:val="22"/>
        </w:rPr>
        <w:t>,</w:t>
      </w:r>
      <w:r w:rsidRPr="006C6C07">
        <w:rPr>
          <w:rFonts w:ascii="Palatino Linotype" w:eastAsia="Palatino Linotype" w:hAnsi="Palatino Linotype" w:cs="Palatino Linotype"/>
          <w:sz w:val="22"/>
          <w:szCs w:val="22"/>
        </w:rPr>
        <w:t>825 points, respectively</w:t>
      </w:r>
      <w:r>
        <w:rPr>
          <w:rFonts w:ascii="Palatino Linotype" w:eastAsia="Palatino Linotype" w:hAnsi="Palatino Linotype" w:cs="Palatino Linotype"/>
          <w:sz w:val="22"/>
          <w:szCs w:val="22"/>
        </w:rPr>
        <w:t>,</w:t>
      </w:r>
      <w:r w:rsidRPr="006C6C07">
        <w:rPr>
          <w:rFonts w:ascii="Palatino Linotype" w:eastAsia="Palatino Linotype" w:hAnsi="Palatino Linotype" w:cs="Palatino Linotype"/>
          <w:sz w:val="22"/>
          <w:szCs w:val="22"/>
        </w:rPr>
        <w:t xml:space="preserve"> and their intraday low for the month, on November 2, 2020 with 11</w:t>
      </w:r>
      <w:r>
        <w:rPr>
          <w:rFonts w:ascii="Palatino Linotype" w:eastAsia="Palatino Linotype" w:hAnsi="Palatino Linotype" w:cs="Palatino Linotype"/>
          <w:sz w:val="22"/>
          <w:szCs w:val="22"/>
        </w:rPr>
        <w:t>,</w:t>
      </w:r>
      <w:r w:rsidRPr="006C6C07">
        <w:rPr>
          <w:rFonts w:ascii="Palatino Linotype" w:eastAsia="Palatino Linotype" w:hAnsi="Palatino Linotype" w:cs="Palatino Linotype"/>
          <w:sz w:val="22"/>
          <w:szCs w:val="22"/>
        </w:rPr>
        <w:t>557</w:t>
      </w:r>
      <w:r>
        <w:rPr>
          <w:rFonts w:ascii="Palatino Linotype" w:eastAsia="Palatino Linotype" w:hAnsi="Palatino Linotype" w:cs="Palatino Linotype"/>
          <w:sz w:val="22"/>
          <w:szCs w:val="22"/>
        </w:rPr>
        <w:t xml:space="preserve"> </w:t>
      </w:r>
      <w:r w:rsidRPr="006C6C07">
        <w:rPr>
          <w:rFonts w:ascii="Palatino Linotype" w:eastAsia="Palatino Linotype" w:hAnsi="Palatino Linotype" w:cs="Palatino Linotype"/>
          <w:sz w:val="22"/>
          <w:szCs w:val="22"/>
        </w:rPr>
        <w:t>points and 39</w:t>
      </w:r>
      <w:r>
        <w:rPr>
          <w:rFonts w:ascii="Palatino Linotype" w:eastAsia="Palatino Linotype" w:hAnsi="Palatino Linotype" w:cs="Palatino Linotype"/>
          <w:sz w:val="22"/>
          <w:szCs w:val="22"/>
        </w:rPr>
        <w:t>,</w:t>
      </w:r>
      <w:r w:rsidRPr="006C6C07">
        <w:rPr>
          <w:rFonts w:ascii="Palatino Linotype" w:eastAsia="Palatino Linotype" w:hAnsi="Palatino Linotype" w:cs="Palatino Linotype"/>
          <w:sz w:val="22"/>
          <w:szCs w:val="22"/>
        </w:rPr>
        <w:t>33</w:t>
      </w:r>
      <w:r>
        <w:rPr>
          <w:rFonts w:ascii="Palatino Linotype" w:eastAsia="Palatino Linotype" w:hAnsi="Palatino Linotype" w:cs="Palatino Linotype"/>
          <w:sz w:val="22"/>
          <w:szCs w:val="22"/>
        </w:rPr>
        <w:t>5</w:t>
      </w:r>
      <w:r w:rsidRPr="006C6C07">
        <w:rPr>
          <w:rFonts w:ascii="Palatino Linotype" w:eastAsia="Palatino Linotype" w:hAnsi="Palatino Linotype" w:cs="Palatino Linotype"/>
          <w:sz w:val="22"/>
          <w:szCs w:val="22"/>
        </w:rPr>
        <w:t xml:space="preserve"> points, respectively.</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The P/E ratios of S&amp;P BSE Sensex and Nifty 50 were 31.5 and 35.7, respectively, at the end of November 2020 compared to 27.6 and 31.9, respectively, at the end of October 2020.</w:t>
      </w:r>
    </w:p>
    <w:p w:rsidR="00BB43D3" w:rsidRPr="00C21F81" w:rsidRDefault="00BB43D3" w:rsidP="00BB43D3">
      <w:pPr>
        <w:widowControl w:val="0"/>
        <w:spacing w:line="276" w:lineRule="auto"/>
        <w:jc w:val="both"/>
        <w:rPr>
          <w:rFonts w:ascii="Palatino Linotype" w:eastAsia="Palatino Linotype" w:hAnsi="Palatino Linotype" w:cs="Palatino Linotype"/>
          <w:b/>
          <w:color w:val="2E74B5"/>
          <w:sz w:val="22"/>
          <w:szCs w:val="22"/>
        </w:rPr>
      </w:pPr>
    </w:p>
    <w:p w:rsidR="00BB43D3" w:rsidRPr="00C21F81" w:rsidRDefault="00BB43D3" w:rsidP="00BB43D3">
      <w:pPr>
        <w:widowControl w:val="0"/>
        <w:spacing w:line="276" w:lineRule="auto"/>
        <w:jc w:val="both"/>
        <w:rPr>
          <w:rFonts w:ascii="Palatino Linotype" w:eastAsia="Palatino Linotype" w:hAnsi="Palatino Linotype" w:cs="Palatino Linotype"/>
          <w:b/>
          <w:color w:val="2E74B5"/>
          <w:sz w:val="22"/>
          <w:szCs w:val="22"/>
        </w:rPr>
      </w:pPr>
      <w:r w:rsidRPr="00C21F81">
        <w:rPr>
          <w:rFonts w:ascii="Palatino Linotype" w:eastAsia="Palatino Linotype" w:hAnsi="Palatino Linotype" w:cs="Palatino Linotype"/>
          <w:b/>
          <w:color w:val="2E74B5"/>
          <w:sz w:val="22"/>
          <w:szCs w:val="22"/>
        </w:rPr>
        <w:t xml:space="preserve">Table 2: Snapshot of Indian Capital Market </w:t>
      </w:r>
    </w:p>
    <w:tbl>
      <w:tblPr>
        <w:tblW w:w="7982" w:type="dxa"/>
        <w:tblInd w:w="93" w:type="dxa"/>
        <w:tblLook w:val="04A0" w:firstRow="1" w:lastRow="0" w:firstColumn="1" w:lastColumn="0" w:noHBand="0" w:noVBand="1"/>
      </w:tblPr>
      <w:tblGrid>
        <w:gridCol w:w="4460"/>
        <w:gridCol w:w="1200"/>
        <w:gridCol w:w="1200"/>
        <w:gridCol w:w="1122"/>
      </w:tblGrid>
      <w:tr w:rsidR="00BB43D3" w:rsidRPr="00C21F81" w:rsidTr="0001273A">
        <w:trPr>
          <w:trHeight w:val="780"/>
        </w:trPr>
        <w:tc>
          <w:tcPr>
            <w:tcW w:w="4460" w:type="dxa"/>
            <w:tcBorders>
              <w:top w:val="single" w:sz="4" w:space="0" w:color="000000"/>
              <w:left w:val="single" w:sz="4" w:space="0" w:color="000000"/>
              <w:bottom w:val="single" w:sz="4" w:space="0" w:color="000000"/>
              <w:right w:val="single" w:sz="4" w:space="0" w:color="000000"/>
            </w:tcBorders>
            <w:shd w:val="clear" w:color="92CDDC" w:fill="92CDDC"/>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Description</w:t>
            </w:r>
          </w:p>
        </w:tc>
        <w:tc>
          <w:tcPr>
            <w:tcW w:w="1200" w:type="dxa"/>
            <w:tcBorders>
              <w:top w:val="single" w:sz="4" w:space="0" w:color="000000"/>
              <w:left w:val="nil"/>
              <w:bottom w:val="single" w:sz="4" w:space="0" w:color="000000"/>
              <w:right w:val="single" w:sz="4" w:space="0" w:color="000000"/>
            </w:tcBorders>
            <w:shd w:val="clear" w:color="92CDDC" w:fill="92CDDC"/>
            <w:noWrap/>
            <w:vAlign w:val="center"/>
            <w:hideMark/>
          </w:tcPr>
          <w:p w:rsidR="00BB43D3" w:rsidRPr="006C6C07" w:rsidRDefault="00BB43D3" w:rsidP="0001273A">
            <w:pPr>
              <w:jc w:val="cente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Oct-20</w:t>
            </w:r>
          </w:p>
        </w:tc>
        <w:tc>
          <w:tcPr>
            <w:tcW w:w="1200" w:type="dxa"/>
            <w:tcBorders>
              <w:top w:val="single" w:sz="4" w:space="0" w:color="000000"/>
              <w:left w:val="nil"/>
              <w:bottom w:val="single" w:sz="4" w:space="0" w:color="000000"/>
              <w:right w:val="single" w:sz="4" w:space="0" w:color="000000"/>
            </w:tcBorders>
            <w:shd w:val="clear" w:color="92CDDC" w:fill="92CDDC"/>
            <w:noWrap/>
            <w:vAlign w:val="center"/>
            <w:hideMark/>
          </w:tcPr>
          <w:p w:rsidR="00BB43D3" w:rsidRPr="006C6C07" w:rsidRDefault="00BB43D3" w:rsidP="0001273A">
            <w:pPr>
              <w:jc w:val="cente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Nov-20</w:t>
            </w:r>
          </w:p>
        </w:tc>
        <w:tc>
          <w:tcPr>
            <w:tcW w:w="1122" w:type="dxa"/>
            <w:tcBorders>
              <w:top w:val="single" w:sz="4" w:space="0" w:color="000000"/>
              <w:left w:val="nil"/>
              <w:bottom w:val="single" w:sz="4" w:space="0" w:color="000000"/>
              <w:right w:val="single" w:sz="4" w:space="0" w:color="000000"/>
            </w:tcBorders>
            <w:shd w:val="clear" w:color="92CDDC" w:fill="92CDDC"/>
            <w:vAlign w:val="center"/>
            <w:hideMark/>
          </w:tcPr>
          <w:p w:rsidR="00BB43D3" w:rsidRPr="006C6C07" w:rsidRDefault="00BB43D3" w:rsidP="0001273A">
            <w:pPr>
              <w:jc w:val="cente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MoM percentage change</w:t>
            </w:r>
          </w:p>
        </w:tc>
      </w:tr>
      <w:tr w:rsidR="00BB43D3" w:rsidRPr="00C21F81" w:rsidTr="0001273A">
        <w:trPr>
          <w:trHeight w:val="315"/>
        </w:trPr>
        <w:tc>
          <w:tcPr>
            <w:tcW w:w="4460" w:type="dxa"/>
            <w:tcBorders>
              <w:top w:val="nil"/>
              <w:left w:val="single" w:sz="4" w:space="0" w:color="000000"/>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Index in Equity Market</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122" w:type="dxa"/>
            <w:tcBorders>
              <w:top w:val="nil"/>
              <w:left w:val="nil"/>
              <w:bottom w:val="single" w:sz="4" w:space="0" w:color="000000"/>
              <w:right w:val="single" w:sz="4" w:space="0" w:color="000000"/>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Sensex</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39,614</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44,150</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11.45</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Nifty 50</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11,642</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12,969</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11.39</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Nifty 500</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9,582</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10,719</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11.87</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BSE 500</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15,215</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16,995</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11.70</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Nifty Bank</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23,901</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29,609</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23.88</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Nifty IT</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20,917</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21,765</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4.05</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BSE Healthcare</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19,258</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20,319</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5.51</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BSE FMCG</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10,923</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11,726</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7.35</w:t>
            </w:r>
          </w:p>
        </w:tc>
      </w:tr>
      <w:tr w:rsidR="00BB43D3" w:rsidRPr="00C21F81" w:rsidTr="0001273A">
        <w:trPr>
          <w:trHeight w:val="315"/>
        </w:trPr>
        <w:tc>
          <w:tcPr>
            <w:tcW w:w="4460" w:type="dxa"/>
            <w:tcBorders>
              <w:top w:val="nil"/>
              <w:left w:val="single" w:sz="4" w:space="0" w:color="000000"/>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Market Capitalisation (</w:t>
            </w:r>
            <w:r w:rsidRPr="006C6C07">
              <w:rPr>
                <w:rFonts w:ascii="Tahoma" w:eastAsia="Times New Roman" w:hAnsi="Tahoma" w:cs="Tahoma"/>
                <w:b/>
                <w:bCs/>
                <w:sz w:val="18"/>
                <w:szCs w:val="18"/>
                <w:lang w:val="en-US"/>
              </w:rPr>
              <w:t>₹</w:t>
            </w:r>
            <w:r w:rsidRPr="006C6C07">
              <w:rPr>
                <w:rFonts w:ascii="Palatino Linotype" w:eastAsia="Times New Roman" w:hAnsi="Palatino Linotype"/>
                <w:b/>
                <w:bCs/>
                <w:sz w:val="18"/>
                <w:szCs w:val="18"/>
                <w:lang w:val="en-US"/>
              </w:rPr>
              <w:t xml:space="preserve"> crore)</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122" w:type="dxa"/>
            <w:tcBorders>
              <w:top w:val="nil"/>
              <w:left w:val="nil"/>
              <w:bottom w:val="single" w:sz="4" w:space="0" w:color="000000"/>
              <w:right w:val="single" w:sz="4" w:space="0" w:color="000000"/>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 xml:space="preserve">BSE </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1,57,92,250</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1,74,14,860</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10.27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NSE</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1,55,87,903</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1,72,71,314</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10.80 </w:t>
            </w:r>
          </w:p>
        </w:tc>
      </w:tr>
      <w:tr w:rsidR="00BB43D3" w:rsidRPr="00C21F81" w:rsidTr="0001273A">
        <w:trPr>
          <w:trHeight w:val="315"/>
        </w:trPr>
        <w:tc>
          <w:tcPr>
            <w:tcW w:w="4460" w:type="dxa"/>
            <w:tcBorders>
              <w:top w:val="nil"/>
              <w:left w:val="single" w:sz="4" w:space="0" w:color="000000"/>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P/E Ratio</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122" w:type="dxa"/>
            <w:tcBorders>
              <w:top w:val="nil"/>
              <w:left w:val="nil"/>
              <w:bottom w:val="single" w:sz="4" w:space="0" w:color="000000"/>
              <w:right w:val="single" w:sz="4" w:space="0" w:color="000000"/>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Sensex</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27.55</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31.49</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14.30</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Nifty 50</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31.90</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35.66</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11.79</w:t>
            </w:r>
          </w:p>
        </w:tc>
      </w:tr>
      <w:tr w:rsidR="00BB43D3" w:rsidRPr="00C21F81" w:rsidTr="0001273A">
        <w:trPr>
          <w:trHeight w:val="315"/>
        </w:trPr>
        <w:tc>
          <w:tcPr>
            <w:tcW w:w="4460" w:type="dxa"/>
            <w:tcBorders>
              <w:top w:val="nil"/>
              <w:left w:val="single" w:sz="4" w:space="0" w:color="000000"/>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No. of Listed Companies</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122" w:type="dxa"/>
            <w:tcBorders>
              <w:top w:val="nil"/>
              <w:left w:val="nil"/>
              <w:bottom w:val="single" w:sz="4" w:space="0" w:color="000000"/>
              <w:right w:val="single" w:sz="4" w:space="0" w:color="000000"/>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 xml:space="preserve">BSE </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5,437</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5,442</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0.09</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NSE</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1,959</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1,959</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0.00</w:t>
            </w:r>
          </w:p>
        </w:tc>
      </w:tr>
      <w:tr w:rsidR="00BB43D3" w:rsidRPr="00C21F81" w:rsidTr="0001273A">
        <w:trPr>
          <w:trHeight w:val="315"/>
        </w:trPr>
        <w:tc>
          <w:tcPr>
            <w:tcW w:w="4460" w:type="dxa"/>
            <w:tcBorders>
              <w:top w:val="nil"/>
              <w:left w:val="single" w:sz="4" w:space="0" w:color="000000"/>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Gross Turnover in Equity Segment (</w:t>
            </w:r>
            <w:r w:rsidRPr="006C6C07">
              <w:rPr>
                <w:rFonts w:ascii="Tahoma" w:eastAsia="Times New Roman" w:hAnsi="Tahoma" w:cs="Tahoma"/>
                <w:b/>
                <w:bCs/>
                <w:sz w:val="18"/>
                <w:szCs w:val="18"/>
                <w:lang w:val="en-US"/>
              </w:rPr>
              <w:t>₹</w:t>
            </w:r>
            <w:r w:rsidRPr="006C6C07">
              <w:rPr>
                <w:rFonts w:ascii="Palatino Linotype" w:eastAsia="Times New Roman" w:hAnsi="Palatino Linotype"/>
                <w:b/>
                <w:bCs/>
                <w:sz w:val="18"/>
                <w:szCs w:val="18"/>
                <w:lang w:val="en-US"/>
              </w:rPr>
              <w:t xml:space="preserve"> crore)</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122" w:type="dxa"/>
            <w:tcBorders>
              <w:top w:val="nil"/>
              <w:left w:val="nil"/>
              <w:bottom w:val="single" w:sz="4" w:space="0" w:color="000000"/>
              <w:right w:val="single" w:sz="4" w:space="0" w:color="000000"/>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 xml:space="preserve">BSE </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57,866</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70,676</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22.14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NSE</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10,98,884</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13,37,272</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21.69 </w:t>
            </w:r>
          </w:p>
        </w:tc>
      </w:tr>
      <w:tr w:rsidR="00BB43D3" w:rsidRPr="00C21F81" w:rsidTr="0001273A">
        <w:trPr>
          <w:trHeight w:val="315"/>
        </w:trPr>
        <w:tc>
          <w:tcPr>
            <w:tcW w:w="5660"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Gross Turnover in Equity Derivatives Segment (</w:t>
            </w:r>
            <w:r w:rsidRPr="006C6C07">
              <w:rPr>
                <w:rFonts w:ascii="Tahoma" w:eastAsia="Times New Roman" w:hAnsi="Tahoma" w:cs="Tahoma"/>
                <w:b/>
                <w:bCs/>
                <w:sz w:val="18"/>
                <w:szCs w:val="18"/>
                <w:lang w:val="en-US"/>
              </w:rPr>
              <w:t>₹</w:t>
            </w:r>
            <w:r w:rsidRPr="006C6C07">
              <w:rPr>
                <w:rFonts w:ascii="Palatino Linotype" w:eastAsia="Times New Roman" w:hAnsi="Palatino Linotype"/>
                <w:b/>
                <w:bCs/>
                <w:sz w:val="18"/>
                <w:szCs w:val="18"/>
                <w:lang w:val="en-US"/>
              </w:rPr>
              <w:t xml:space="preserve"> crore)</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122" w:type="dxa"/>
            <w:tcBorders>
              <w:top w:val="nil"/>
              <w:left w:val="nil"/>
              <w:bottom w:val="single" w:sz="4" w:space="0" w:color="000000"/>
              <w:right w:val="single" w:sz="4" w:space="0" w:color="000000"/>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 xml:space="preserve">BSE </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33,92,512</w:t>
            </w:r>
          </w:p>
        </w:tc>
        <w:tc>
          <w:tcPr>
            <w:tcW w:w="1200"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43,78,494</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29.06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NSE</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5,52,81,624</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5,68,89,565</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2.91 </w:t>
            </w:r>
          </w:p>
        </w:tc>
      </w:tr>
      <w:tr w:rsidR="00BB43D3" w:rsidRPr="00C21F81" w:rsidTr="0001273A">
        <w:trPr>
          <w:trHeight w:val="315"/>
        </w:trPr>
        <w:tc>
          <w:tcPr>
            <w:tcW w:w="5660"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Gross Turnover in Currency Derivatives Segment (</w:t>
            </w:r>
            <w:r w:rsidRPr="006C6C07">
              <w:rPr>
                <w:rFonts w:ascii="Tahoma" w:eastAsia="Times New Roman" w:hAnsi="Tahoma" w:cs="Tahoma"/>
                <w:b/>
                <w:bCs/>
                <w:sz w:val="18"/>
                <w:szCs w:val="18"/>
                <w:lang w:val="en-US"/>
              </w:rPr>
              <w:t>₹</w:t>
            </w:r>
            <w:r w:rsidRPr="006C6C07">
              <w:rPr>
                <w:rFonts w:ascii="Palatino Linotype" w:eastAsia="Times New Roman" w:hAnsi="Palatino Linotype"/>
                <w:b/>
                <w:bCs/>
                <w:sz w:val="18"/>
                <w:szCs w:val="18"/>
                <w:lang w:val="en-US"/>
              </w:rPr>
              <w:t xml:space="preserve"> crore)</w:t>
            </w:r>
          </w:p>
        </w:tc>
        <w:tc>
          <w:tcPr>
            <w:tcW w:w="1200" w:type="dxa"/>
            <w:tcBorders>
              <w:top w:val="nil"/>
              <w:left w:val="nil"/>
              <w:bottom w:val="single" w:sz="4" w:space="0" w:color="000000"/>
              <w:right w:val="nil"/>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c>
          <w:tcPr>
            <w:tcW w:w="1122" w:type="dxa"/>
            <w:tcBorders>
              <w:top w:val="nil"/>
              <w:left w:val="nil"/>
              <w:bottom w:val="single" w:sz="4" w:space="0" w:color="000000"/>
              <w:right w:val="single" w:sz="4" w:space="0" w:color="000000"/>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 xml:space="preserve">BSE </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4,08,891</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4,02,247</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-1.62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NSE</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9,77,668</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10,24,112</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4.75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MSEI</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9,075</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12,345</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36.03 </w:t>
            </w:r>
          </w:p>
        </w:tc>
      </w:tr>
      <w:tr w:rsidR="00BB43D3" w:rsidRPr="00C21F81" w:rsidTr="0001273A">
        <w:trPr>
          <w:trHeight w:val="315"/>
        </w:trPr>
        <w:tc>
          <w:tcPr>
            <w:tcW w:w="7982" w:type="dxa"/>
            <w:gridSpan w:val="4"/>
            <w:tcBorders>
              <w:top w:val="single" w:sz="4" w:space="0" w:color="000000"/>
              <w:left w:val="single" w:sz="4" w:space="0" w:color="000000"/>
              <w:bottom w:val="single" w:sz="4" w:space="0" w:color="000000"/>
              <w:right w:val="single" w:sz="4" w:space="0" w:color="000000"/>
            </w:tcBorders>
            <w:shd w:val="clear" w:color="C6E0B4" w:fill="C6E0B4"/>
            <w:noWrap/>
            <w:vAlign w:val="center"/>
            <w:hideMark/>
          </w:tcPr>
          <w:p w:rsidR="00BB43D3" w:rsidRPr="006C6C07" w:rsidRDefault="00BB43D3" w:rsidP="0001273A">
            <w:pPr>
              <w:rPr>
                <w:rFonts w:ascii="Palatino Linotype" w:eastAsia="Times New Roman" w:hAnsi="Palatino Linotype"/>
                <w:b/>
                <w:bCs/>
                <w:sz w:val="18"/>
                <w:szCs w:val="18"/>
                <w:lang w:val="en-US"/>
              </w:rPr>
            </w:pPr>
            <w:r w:rsidRPr="006C6C07">
              <w:rPr>
                <w:rFonts w:ascii="Palatino Linotype" w:eastAsia="Times New Roman" w:hAnsi="Palatino Linotype"/>
                <w:b/>
                <w:bCs/>
                <w:sz w:val="18"/>
                <w:szCs w:val="18"/>
                <w:lang w:val="en-US"/>
              </w:rPr>
              <w:t>Gross Turnover in Interest Rate Derivatives Segment (</w:t>
            </w:r>
            <w:r w:rsidRPr="006C6C07">
              <w:rPr>
                <w:rFonts w:ascii="Tahoma" w:eastAsia="Times New Roman" w:hAnsi="Tahoma" w:cs="Tahoma"/>
                <w:b/>
                <w:bCs/>
                <w:sz w:val="18"/>
                <w:szCs w:val="18"/>
                <w:lang w:val="en-US"/>
              </w:rPr>
              <w:t>₹</w:t>
            </w:r>
            <w:r w:rsidRPr="006C6C07">
              <w:rPr>
                <w:rFonts w:ascii="Palatino Linotype" w:eastAsia="Times New Roman" w:hAnsi="Palatino Linotype"/>
                <w:b/>
                <w:bCs/>
                <w:sz w:val="18"/>
                <w:szCs w:val="18"/>
                <w:lang w:val="en-US"/>
              </w:rPr>
              <w:t xml:space="preserve"> crore)</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 xml:space="preserve">BSE </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1,949</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3,284</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68.48 </w:t>
            </w:r>
          </w:p>
        </w:tc>
      </w:tr>
      <w:tr w:rsidR="00BB43D3" w:rsidRPr="00C21F81" w:rsidTr="0001273A">
        <w:trPr>
          <w:trHeight w:val="315"/>
        </w:trPr>
        <w:tc>
          <w:tcPr>
            <w:tcW w:w="4460" w:type="dxa"/>
            <w:tcBorders>
              <w:top w:val="nil"/>
              <w:left w:val="single" w:sz="4" w:space="0" w:color="000000"/>
              <w:bottom w:val="single" w:sz="4" w:space="0" w:color="000000"/>
              <w:right w:val="single" w:sz="4" w:space="0" w:color="000000"/>
            </w:tcBorders>
            <w:shd w:val="clear" w:color="auto" w:fill="auto"/>
            <w:noWrap/>
            <w:vAlign w:val="bottom"/>
            <w:hideMark/>
          </w:tcPr>
          <w:p w:rsidR="00BB43D3" w:rsidRPr="00C21F81" w:rsidRDefault="00BB43D3" w:rsidP="0001273A">
            <w:pPr>
              <w:rPr>
                <w:rFonts w:ascii="Palatino Linotype" w:hAnsi="Palatino Linotype"/>
                <w:sz w:val="18"/>
                <w:szCs w:val="18"/>
              </w:rPr>
            </w:pPr>
            <w:r w:rsidRPr="00C21F81">
              <w:rPr>
                <w:rFonts w:ascii="Palatino Linotype" w:hAnsi="Palatino Linotype"/>
                <w:sz w:val="18"/>
                <w:szCs w:val="18"/>
              </w:rPr>
              <w:t>NSE</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5,969</w:t>
            </w:r>
          </w:p>
        </w:tc>
        <w:tc>
          <w:tcPr>
            <w:tcW w:w="1200" w:type="dxa"/>
            <w:tcBorders>
              <w:top w:val="nil"/>
              <w:left w:val="nil"/>
              <w:bottom w:val="single" w:sz="4" w:space="0" w:color="000000"/>
              <w:right w:val="single" w:sz="4" w:space="0" w:color="000000"/>
            </w:tcBorders>
            <w:shd w:val="clear" w:color="FFFFFF" w:fill="FFFFFF"/>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3,735</w:t>
            </w:r>
          </w:p>
        </w:tc>
        <w:tc>
          <w:tcPr>
            <w:tcW w:w="1122" w:type="dxa"/>
            <w:tcBorders>
              <w:top w:val="nil"/>
              <w:left w:val="nil"/>
              <w:bottom w:val="single" w:sz="4" w:space="0" w:color="000000"/>
              <w:right w:val="single" w:sz="4" w:space="0" w:color="000000"/>
            </w:tcBorders>
            <w:shd w:val="clear" w:color="auto" w:fill="auto"/>
            <w:noWrap/>
            <w:vAlign w:val="bottom"/>
            <w:hideMark/>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 xml:space="preserve">-37.43 </w:t>
            </w:r>
          </w:p>
        </w:tc>
      </w:tr>
    </w:tbl>
    <w:p w:rsidR="00BB43D3" w:rsidRPr="00C21F81" w:rsidRDefault="00BB43D3" w:rsidP="00BB43D3">
      <w:pPr>
        <w:spacing w:line="276" w:lineRule="auto"/>
        <w:rPr>
          <w:rFonts w:ascii="Palatino Linotype" w:eastAsia="Palatino Linotype" w:hAnsi="Palatino Linotype" w:cs="Palatino Linotype"/>
          <w:b/>
          <w:color w:val="2E74B5"/>
          <w:sz w:val="22"/>
          <w:szCs w:val="22"/>
          <w:highlight w:val="yellow"/>
        </w:rPr>
      </w:pPr>
      <w:r w:rsidRPr="00C21F81">
        <w:rPr>
          <w:rFonts w:ascii="Palatino Linotype" w:eastAsia="Palatino Linotype" w:hAnsi="Palatino Linotype" w:cs="Palatino Linotype"/>
          <w:b/>
          <w:color w:val="2E74B5"/>
          <w:sz w:val="22"/>
          <w:szCs w:val="22"/>
          <w:highlight w:val="yellow"/>
        </w:rPr>
        <w:br w:type="page"/>
      </w:r>
    </w:p>
    <w:p w:rsidR="00BB43D3" w:rsidRPr="006C6C07"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Figure 1: Movement of S&amp;P BSE Sensex and Nifty 50 during November 2020</w:t>
      </w:r>
    </w:p>
    <w:p w:rsidR="00BB43D3" w:rsidRDefault="00474EEE" w:rsidP="00474EEE">
      <w:pPr>
        <w:spacing w:line="276" w:lineRule="auto"/>
        <w:jc w:val="center"/>
        <w:rPr>
          <w:rFonts w:ascii="Palatino Linotype" w:eastAsia="Palatino Linotype" w:hAnsi="Palatino Linotype" w:cs="Palatino Linotype"/>
          <w:bCs/>
          <w:sz w:val="18"/>
          <w:szCs w:val="18"/>
        </w:rPr>
      </w:pPr>
      <w:r>
        <w:rPr>
          <w:noProof/>
          <w:lang w:val="en-IN" w:eastAsia="en-IN" w:bidi="hi-IN"/>
        </w:rPr>
        <w:drawing>
          <wp:inline distT="0" distB="0" distL="0" distR="0" wp14:anchorId="74B0FACB" wp14:editId="44923089">
            <wp:extent cx="4967997" cy="2857500"/>
            <wp:effectExtent l="0" t="0" r="444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43D3" w:rsidRPr="006C6C07" w:rsidRDefault="00BB43D3" w:rsidP="005B500E">
      <w:pPr>
        <w:spacing w:line="276" w:lineRule="auto"/>
        <w:ind w:left="360"/>
        <w:rPr>
          <w:rFonts w:ascii="Palatino Linotype" w:eastAsia="Palatino Linotype" w:hAnsi="Palatino Linotype" w:cs="Palatino Linotype"/>
          <w:bCs/>
          <w:sz w:val="18"/>
          <w:szCs w:val="18"/>
        </w:rPr>
      </w:pPr>
      <w:r w:rsidRPr="006C6C07">
        <w:rPr>
          <w:rFonts w:ascii="Palatino Linotype" w:eastAsia="Palatino Linotype" w:hAnsi="Palatino Linotype" w:cs="Palatino Linotype"/>
          <w:bCs/>
          <w:sz w:val="18"/>
          <w:szCs w:val="18"/>
        </w:rPr>
        <w:t>Note: The closing values of Nifty 50 and Sensex have been rebased with respective closing values of first day of the month.</w:t>
      </w:r>
    </w:p>
    <w:p w:rsidR="00BB43D3" w:rsidRPr="006C6C07" w:rsidRDefault="00BB43D3" w:rsidP="00BB43D3">
      <w:pPr>
        <w:spacing w:line="276" w:lineRule="auto"/>
        <w:rPr>
          <w:rFonts w:ascii="Palatino Linotype" w:eastAsia="Palatino Linotype" w:hAnsi="Palatino Linotype" w:cs="Palatino Linotype"/>
          <w:b/>
          <w:sz w:val="22"/>
          <w:szCs w:val="22"/>
        </w:rPr>
      </w:pP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The market capitalisation of BSE and NSE registered an increase of 10.3 per cent and 10.8 per cent, respectively, over the level as at the end of last month.  </w:t>
      </w:r>
    </w:p>
    <w:p w:rsidR="00BB43D3" w:rsidRPr="00C21F81" w:rsidRDefault="00BB43D3" w:rsidP="00BB43D3">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highlight w:val="yellow"/>
        </w:rPr>
      </w:pPr>
    </w:p>
    <w:p w:rsidR="00BB43D3" w:rsidRPr="006C6C07"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Figure 2: Trends in Average Daily Values of Nifty 50 and NSE Equity Cash Segment Turnover</w:t>
      </w:r>
    </w:p>
    <w:p w:rsidR="00BB43D3" w:rsidRPr="00C21F81"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C21F81">
        <w:rPr>
          <w:rFonts w:ascii="Palatino Linotype" w:hAnsi="Palatino Linotype"/>
          <w:noProof/>
          <w:lang w:val="en-IN" w:eastAsia="en-IN" w:bidi="hi-IN"/>
        </w:rPr>
        <w:drawing>
          <wp:inline distT="0" distB="0" distL="0" distR="0">
            <wp:extent cx="6103620" cy="2700020"/>
            <wp:effectExtent l="0" t="0" r="11430" b="5080"/>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B43D3" w:rsidRPr="00C21F81"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p>
    <w:p w:rsidR="00BB43D3" w:rsidRPr="00C21F81" w:rsidRDefault="00BB43D3" w:rsidP="00BB43D3">
      <w:pPr>
        <w:spacing w:line="276" w:lineRule="auto"/>
        <w:rPr>
          <w:rFonts w:ascii="Palatino Linotype" w:eastAsia="Palatino Linotype" w:hAnsi="Palatino Linotype" w:cs="Palatino Linotype"/>
          <w:b/>
          <w:color w:val="2E74B5"/>
          <w:sz w:val="22"/>
          <w:szCs w:val="22"/>
          <w:highlight w:val="yellow"/>
        </w:rPr>
      </w:pPr>
      <w:r w:rsidRPr="00C21F81">
        <w:rPr>
          <w:rFonts w:ascii="Palatino Linotype" w:eastAsia="Palatino Linotype" w:hAnsi="Palatino Linotype" w:cs="Palatino Linotype"/>
          <w:b/>
          <w:color w:val="2E74B5"/>
          <w:sz w:val="22"/>
          <w:szCs w:val="22"/>
          <w:highlight w:val="yellow"/>
        </w:rPr>
        <w:br w:type="page"/>
      </w:r>
    </w:p>
    <w:p w:rsidR="00BB43D3" w:rsidRDefault="00BB43D3" w:rsidP="00BB43D3">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Figure 3: Trends in Average Daily Values of S&amp;P BSE Sensex and BSE Equity Cash Segment Turnover</w:t>
      </w:r>
    </w:p>
    <w:p w:rsidR="009972B4" w:rsidRDefault="009972B4" w:rsidP="00BB43D3">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Pr>
          <w:noProof/>
          <w:lang w:val="en-IN" w:eastAsia="en-IN" w:bidi="hi-IN"/>
        </w:rPr>
        <w:drawing>
          <wp:inline distT="0" distB="0" distL="0" distR="0" wp14:anchorId="186D525E" wp14:editId="01375A3B">
            <wp:extent cx="5731510" cy="2729865"/>
            <wp:effectExtent l="0" t="0" r="254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972B4" w:rsidRPr="006C6C07" w:rsidRDefault="009972B4" w:rsidP="00BB43D3">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November 2020, the gross turnover in the equity cash segments, both at BSE and NSE, grew by 22.1 per cent and 21.7 per cent, respectively. </w:t>
      </w:r>
    </w:p>
    <w:p w:rsidR="00BB43D3" w:rsidRPr="006C6C07" w:rsidRDefault="00BB43D3" w:rsidP="00BB43D3">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During November 2020, the select BSE indices</w:t>
      </w:r>
      <w:r>
        <w:rPr>
          <w:rFonts w:ascii="Palatino Linotype" w:eastAsia="Palatino Linotype" w:hAnsi="Palatino Linotype" w:cs="Palatino Linotype"/>
          <w:sz w:val="22"/>
          <w:szCs w:val="22"/>
        </w:rPr>
        <w:t>,</w:t>
      </w:r>
      <w:r w:rsidRPr="006C6C07">
        <w:rPr>
          <w:rFonts w:ascii="Palatino Linotype" w:eastAsia="Palatino Linotype" w:hAnsi="Palatino Linotype" w:cs="Palatino Linotype"/>
          <w:sz w:val="22"/>
          <w:szCs w:val="22"/>
        </w:rPr>
        <w:t xml:space="preserve"> referred to in Figure 4, posted positive returns.  Amongst these, S&amp;P BSE Metal increased by 24.8 per cent, followed by S&amp;P BSE Capital Goods (19.6 per cent) and S&amp;P Bankex (18.8 per cent), over the previous month.   S&amp;P BSE Teck (3.3 per cent) grew the least amongst these, followed by S&amp;P BSE Healthcare (6.3 per cent) and S&amp;P BSE FMCG (7.4 per cent).   The average daily volatility and monthly returns for these select BSE indices for November 2020 are illustrated in Figure 4.</w:t>
      </w:r>
    </w:p>
    <w:p w:rsidR="00BB43D3" w:rsidRPr="006C6C07" w:rsidRDefault="00BB43D3" w:rsidP="00BB43D3">
      <w:pPr>
        <w:spacing w:line="276" w:lineRule="auto"/>
        <w:jc w:val="both"/>
        <w:rPr>
          <w:rFonts w:ascii="Palatino Linotype" w:eastAsia="Palatino Linotype" w:hAnsi="Palatino Linotype" w:cs="Palatino Linotype"/>
          <w:b/>
          <w:sz w:val="22"/>
          <w:szCs w:val="22"/>
        </w:rPr>
      </w:pPr>
    </w:p>
    <w:p w:rsidR="00BB43D3" w:rsidRPr="006C6C07" w:rsidRDefault="00BB43D3" w:rsidP="00BB43D3">
      <w:pPr>
        <w:spacing w:line="276" w:lineRule="auto"/>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Figure 4: Performance of select BSE Indices during November 2020 (per cent)</w:t>
      </w:r>
    </w:p>
    <w:p w:rsidR="00BB43D3" w:rsidRPr="00C21F81" w:rsidRDefault="00BB43D3" w:rsidP="00BB43D3">
      <w:pPr>
        <w:spacing w:line="276" w:lineRule="auto"/>
        <w:jc w:val="center"/>
        <w:rPr>
          <w:rFonts w:ascii="Palatino Linotype" w:eastAsia="Palatino Linotype" w:hAnsi="Palatino Linotype" w:cs="Palatino Linotype"/>
          <w:b/>
          <w:color w:val="2E74B5"/>
          <w:sz w:val="22"/>
          <w:szCs w:val="22"/>
        </w:rPr>
      </w:pPr>
      <w:r w:rsidRPr="00C21F81">
        <w:rPr>
          <w:rFonts w:ascii="Palatino Linotype" w:hAnsi="Palatino Linotype"/>
          <w:noProof/>
          <w:lang w:val="en-IN" w:eastAsia="en-IN" w:bidi="hi-IN"/>
        </w:rPr>
        <w:drawing>
          <wp:inline distT="0" distB="0" distL="0" distR="0">
            <wp:extent cx="6141720" cy="2761615"/>
            <wp:effectExtent l="0" t="0" r="11430" b="635"/>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43D3" w:rsidRPr="00C21F81" w:rsidRDefault="00BB43D3" w:rsidP="00BB43D3">
      <w:pPr>
        <w:spacing w:line="276" w:lineRule="auto"/>
        <w:jc w:val="center"/>
        <w:rPr>
          <w:rFonts w:ascii="Palatino Linotype" w:eastAsia="Palatino Linotype" w:hAnsi="Palatino Linotype" w:cs="Palatino Linotype"/>
          <w:b/>
          <w:color w:val="2E74B5"/>
          <w:sz w:val="22"/>
          <w:szCs w:val="22"/>
          <w:highlight w:val="yellow"/>
        </w:rPr>
      </w:pPr>
    </w:p>
    <w:p w:rsidR="00BB43D3" w:rsidRPr="00C21F81" w:rsidRDefault="00BB43D3" w:rsidP="00BB43D3">
      <w:pPr>
        <w:pBdr>
          <w:top w:val="nil"/>
          <w:left w:val="nil"/>
          <w:bottom w:val="nil"/>
          <w:right w:val="nil"/>
          <w:between w:val="nil"/>
        </w:pBdr>
        <w:spacing w:line="276" w:lineRule="auto"/>
        <w:ind w:left="709" w:hanging="720"/>
        <w:rPr>
          <w:rFonts w:ascii="Palatino Linotype" w:eastAsia="Palatino Linotype" w:hAnsi="Palatino Linotype" w:cs="Palatino Linotype"/>
          <w:b/>
          <w:color w:val="2E74B5"/>
          <w:sz w:val="22"/>
          <w:szCs w:val="22"/>
          <w:highlight w:val="yellow"/>
        </w:rPr>
      </w:pP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Similarly, the select indices of the NSE</w:t>
      </w:r>
      <w:r>
        <w:rPr>
          <w:rFonts w:ascii="Palatino Linotype" w:eastAsia="Palatino Linotype" w:hAnsi="Palatino Linotype" w:cs="Palatino Linotype"/>
          <w:sz w:val="22"/>
          <w:szCs w:val="22"/>
        </w:rPr>
        <w:t>,</w:t>
      </w:r>
      <w:r w:rsidRPr="006C6C07">
        <w:rPr>
          <w:rFonts w:ascii="Palatino Linotype" w:eastAsia="Palatino Linotype" w:hAnsi="Palatino Linotype" w:cs="Palatino Linotype"/>
          <w:sz w:val="22"/>
          <w:szCs w:val="22"/>
        </w:rPr>
        <w:t xml:space="preserve"> referred to in Figure 5, too posted positive returns.  Amongst these, Nifty PSU Bank increased by 19.6 per cent, followed by Nifty Bank (18.9 per cent) and Nifty Midcap 50 (17.8 per cent), over the previous month.   Nifty IT (5.0 per cent) grew the least amongst these, followed by Nifty Pharma (5.9 per cent) and Nifty Media (6.0 per cent).  The average daily volatility and monthly returns of these select NSE indices for November 2020 are illustrated in Figure 5.</w:t>
      </w:r>
    </w:p>
    <w:p w:rsidR="00BB43D3" w:rsidRPr="00C21F81" w:rsidRDefault="00BB43D3" w:rsidP="00BB43D3">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BB43D3" w:rsidRPr="006C6C07" w:rsidRDefault="00BB43D3" w:rsidP="00BB43D3">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Figure 5: Performance of select NSE Indices during November 2020 (per cent)</w:t>
      </w:r>
    </w:p>
    <w:p w:rsidR="00BB43D3" w:rsidRPr="00C21F81" w:rsidRDefault="00BB43D3" w:rsidP="00BB43D3">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C21F81">
        <w:rPr>
          <w:rFonts w:ascii="Palatino Linotype" w:hAnsi="Palatino Linotype"/>
          <w:noProof/>
          <w:lang w:val="en-IN" w:eastAsia="en-IN" w:bidi="hi-IN"/>
        </w:rPr>
        <w:drawing>
          <wp:inline distT="0" distB="0" distL="0" distR="0">
            <wp:extent cx="6085840" cy="2844165"/>
            <wp:effectExtent l="0" t="0" r="10160" b="13335"/>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43D3" w:rsidRPr="006C6C07" w:rsidRDefault="00BB43D3" w:rsidP="00BB43D3">
      <w:pPr>
        <w:pBdr>
          <w:top w:val="nil"/>
          <w:left w:val="nil"/>
          <w:bottom w:val="nil"/>
          <w:right w:val="nil"/>
          <w:between w:val="nil"/>
        </w:pBdr>
        <w:spacing w:line="276" w:lineRule="auto"/>
        <w:rPr>
          <w:rFonts w:ascii="Palatino Linotype" w:eastAsia="Palatino Linotype" w:hAnsi="Palatino Linotype" w:cs="Palatino Linotype"/>
          <w:b/>
          <w:sz w:val="22"/>
          <w:szCs w:val="22"/>
          <w:highlight w:val="yellow"/>
        </w:rPr>
      </w:pPr>
    </w:p>
    <w:p w:rsidR="00BB43D3" w:rsidRPr="006C6C07" w:rsidRDefault="00BB43D3" w:rsidP="00BB43D3">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 xml:space="preserve">Trends in Depository Accounts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As at the end of November 2020, there were 207.2 lakh demat accounts at NSDL and 278.7 lakh demat accounts at CDSL. Further, till the end of November 2020, 5,656 listed companies were signed up with NSDL and 5,737 listed companies were signed up with CDSL to make their equity holdings available in dematerialised form.</w:t>
      </w:r>
    </w:p>
    <w:p w:rsidR="00BB43D3" w:rsidRPr="00C21F81" w:rsidRDefault="00BB43D3" w:rsidP="00BB43D3">
      <w:pPr>
        <w:spacing w:line="276" w:lineRule="auto"/>
        <w:rPr>
          <w:rFonts w:ascii="Palatino Linotype" w:eastAsia="Palatino Linotype" w:hAnsi="Palatino Linotype" w:cs="Palatino Linotype"/>
          <w:b/>
          <w:color w:val="2E74B5"/>
          <w:sz w:val="22"/>
          <w:szCs w:val="22"/>
          <w:highlight w:val="yellow"/>
        </w:rPr>
      </w:pPr>
    </w:p>
    <w:p w:rsidR="00BB43D3" w:rsidRPr="006C6C07" w:rsidRDefault="00BB43D3" w:rsidP="00BB43D3">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Trends in Derivatives Segment</w:t>
      </w:r>
      <w:r w:rsidRPr="006C6C07">
        <w:rPr>
          <w:rFonts w:ascii="Palatino Linotype" w:eastAsia="Palatino Linotype" w:hAnsi="Palatino Linotype" w:cs="Palatino Linotype"/>
          <w:b/>
          <w:sz w:val="22"/>
          <w:szCs w:val="22"/>
        </w:rPr>
        <w:tab/>
      </w:r>
    </w:p>
    <w:p w:rsidR="00BB43D3" w:rsidRPr="006C6C07" w:rsidRDefault="00BB43D3" w:rsidP="00BB43D3">
      <w:pPr>
        <w:widowControl w:val="0"/>
        <w:spacing w:line="276" w:lineRule="auto"/>
        <w:jc w:val="both"/>
        <w:rPr>
          <w:rFonts w:ascii="Palatino Linotype" w:eastAsia="Palatino Linotype" w:hAnsi="Palatino Linotype" w:cs="Palatino Linotype"/>
          <w:sz w:val="22"/>
          <w:szCs w:val="22"/>
        </w:rPr>
      </w:pPr>
    </w:p>
    <w:p w:rsidR="00BB43D3" w:rsidRPr="006C6C07" w:rsidRDefault="00BB43D3" w:rsidP="00BB43D3">
      <w:pPr>
        <w:widowControl w:val="0"/>
        <w:numPr>
          <w:ilvl w:val="0"/>
          <w:numId w:val="4"/>
        </w:numPr>
        <w:spacing w:line="276" w:lineRule="auto"/>
        <w:ind w:left="567" w:hanging="567"/>
        <w:jc w:val="both"/>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Equity Derivatives</w:t>
      </w:r>
    </w:p>
    <w:p w:rsidR="00BB43D3" w:rsidRPr="006C6C07" w:rsidRDefault="00BB43D3" w:rsidP="00BB43D3">
      <w:pPr>
        <w:widowControl w:val="0"/>
        <w:spacing w:line="276" w:lineRule="auto"/>
        <w:jc w:val="both"/>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Table 3: Trends in Equity Derivatives Market</w:t>
      </w:r>
    </w:p>
    <w:tbl>
      <w:tblPr>
        <w:tblW w:w="9893" w:type="dxa"/>
        <w:tblLook w:val="04A0" w:firstRow="1" w:lastRow="0" w:firstColumn="1" w:lastColumn="0" w:noHBand="0" w:noVBand="1"/>
      </w:tblPr>
      <w:tblGrid>
        <w:gridCol w:w="2122"/>
        <w:gridCol w:w="1417"/>
        <w:gridCol w:w="1276"/>
        <w:gridCol w:w="1134"/>
        <w:gridCol w:w="1291"/>
        <w:gridCol w:w="1393"/>
        <w:gridCol w:w="1260"/>
      </w:tblGrid>
      <w:tr w:rsidR="00BB43D3" w:rsidRPr="00C21F81" w:rsidTr="0001273A">
        <w:trPr>
          <w:trHeight w:val="222"/>
          <w:tblHeader/>
        </w:trPr>
        <w:tc>
          <w:tcPr>
            <w:tcW w:w="2122" w:type="dxa"/>
            <w:vMerge w:val="restart"/>
            <w:tcBorders>
              <w:top w:val="single" w:sz="4" w:space="0" w:color="auto"/>
              <w:left w:val="single" w:sz="4" w:space="0" w:color="auto"/>
              <w:bottom w:val="single" w:sz="4" w:space="0" w:color="000000"/>
              <w:right w:val="single" w:sz="4" w:space="0" w:color="000000"/>
            </w:tcBorders>
            <w:shd w:val="clear" w:color="8DB3E2" w:fill="95B3D7"/>
            <w:noWrap/>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Description</w:t>
            </w:r>
          </w:p>
        </w:tc>
        <w:tc>
          <w:tcPr>
            <w:tcW w:w="3827" w:type="dxa"/>
            <w:gridSpan w:val="3"/>
            <w:tcBorders>
              <w:top w:val="single" w:sz="4" w:space="0" w:color="auto"/>
              <w:left w:val="nil"/>
              <w:bottom w:val="single" w:sz="4" w:space="0" w:color="000000"/>
              <w:right w:val="single" w:sz="4" w:space="0" w:color="000000"/>
            </w:tcBorders>
            <w:shd w:val="clear" w:color="8DB3E2" w:fill="95B3D7"/>
            <w:noWrap/>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NSE</w:t>
            </w:r>
          </w:p>
        </w:tc>
        <w:tc>
          <w:tcPr>
            <w:tcW w:w="3944" w:type="dxa"/>
            <w:gridSpan w:val="3"/>
            <w:tcBorders>
              <w:top w:val="single" w:sz="4" w:space="0" w:color="auto"/>
              <w:left w:val="nil"/>
              <w:bottom w:val="single" w:sz="4" w:space="0" w:color="000000"/>
              <w:right w:val="single" w:sz="4" w:space="0" w:color="000000"/>
            </w:tcBorders>
            <w:shd w:val="clear" w:color="8DB3E2" w:fill="95B3D7"/>
            <w:noWrap/>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BSE</w:t>
            </w:r>
          </w:p>
        </w:tc>
      </w:tr>
      <w:tr w:rsidR="00BB43D3" w:rsidRPr="00C21F81" w:rsidTr="0001273A">
        <w:trPr>
          <w:trHeight w:val="746"/>
          <w:tblHeader/>
        </w:trPr>
        <w:tc>
          <w:tcPr>
            <w:tcW w:w="2122" w:type="dxa"/>
            <w:vMerge/>
            <w:tcBorders>
              <w:top w:val="single" w:sz="4" w:space="0" w:color="auto"/>
              <w:left w:val="single" w:sz="4" w:space="0" w:color="auto"/>
              <w:bottom w:val="single" w:sz="4" w:space="0" w:color="000000"/>
              <w:right w:val="single" w:sz="4" w:space="0" w:color="000000"/>
            </w:tcBorders>
            <w:hideMark/>
          </w:tcPr>
          <w:p w:rsidR="00BB43D3" w:rsidRPr="00C21F81" w:rsidRDefault="00BB43D3" w:rsidP="0001273A">
            <w:pPr>
              <w:jc w:val="center"/>
              <w:rPr>
                <w:rFonts w:ascii="Palatino Linotype" w:hAnsi="Palatino Linotype"/>
                <w:b/>
                <w:bCs/>
                <w:sz w:val="16"/>
                <w:szCs w:val="16"/>
                <w:lang w:val="en-IN" w:eastAsia="en-IN" w:bidi="hi-IN"/>
              </w:rPr>
            </w:pPr>
          </w:p>
        </w:tc>
        <w:tc>
          <w:tcPr>
            <w:tcW w:w="1417" w:type="dxa"/>
            <w:tcBorders>
              <w:top w:val="nil"/>
              <w:left w:val="nil"/>
              <w:bottom w:val="nil"/>
              <w:right w:val="single" w:sz="4" w:space="0" w:color="000000"/>
            </w:tcBorders>
            <w:shd w:val="clear" w:color="8DB3E2" w:fill="95B3D7"/>
            <w:noWrap/>
            <w:hideMark/>
          </w:tcPr>
          <w:p w:rsidR="00BB43D3" w:rsidRPr="00C21F81" w:rsidRDefault="00BB43D3" w:rsidP="0001273A">
            <w:pPr>
              <w:tabs>
                <w:tab w:val="left" w:pos="334"/>
                <w:tab w:val="center" w:pos="600"/>
              </w:tabs>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ab/>
              <w:t>Oct-20</w:t>
            </w:r>
          </w:p>
        </w:tc>
        <w:tc>
          <w:tcPr>
            <w:tcW w:w="1276" w:type="dxa"/>
            <w:tcBorders>
              <w:top w:val="nil"/>
              <w:left w:val="nil"/>
              <w:bottom w:val="nil"/>
              <w:right w:val="single" w:sz="4" w:space="0" w:color="000000"/>
            </w:tcBorders>
            <w:shd w:val="clear" w:color="8DB3E2" w:fill="95B3D7"/>
            <w:noWrap/>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Nov-20</w:t>
            </w:r>
          </w:p>
        </w:tc>
        <w:tc>
          <w:tcPr>
            <w:tcW w:w="1134" w:type="dxa"/>
            <w:tcBorders>
              <w:top w:val="nil"/>
              <w:left w:val="nil"/>
              <w:bottom w:val="nil"/>
              <w:right w:val="single" w:sz="4" w:space="0" w:color="000000"/>
            </w:tcBorders>
            <w:shd w:val="clear" w:color="8DB3E2" w:fill="95B3D7"/>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Per centage Change Over Month</w:t>
            </w:r>
          </w:p>
        </w:tc>
        <w:tc>
          <w:tcPr>
            <w:tcW w:w="1291" w:type="dxa"/>
            <w:tcBorders>
              <w:top w:val="nil"/>
              <w:left w:val="nil"/>
              <w:bottom w:val="nil"/>
              <w:right w:val="single" w:sz="4" w:space="0" w:color="000000"/>
            </w:tcBorders>
            <w:shd w:val="clear" w:color="8DB3E2" w:fill="95B3D7"/>
            <w:noWrap/>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Oct-20</w:t>
            </w:r>
          </w:p>
        </w:tc>
        <w:tc>
          <w:tcPr>
            <w:tcW w:w="1393" w:type="dxa"/>
            <w:tcBorders>
              <w:top w:val="nil"/>
              <w:left w:val="nil"/>
              <w:bottom w:val="nil"/>
              <w:right w:val="single" w:sz="4" w:space="0" w:color="000000"/>
            </w:tcBorders>
            <w:shd w:val="clear" w:color="8DB3E2" w:fill="95B3D7"/>
            <w:noWrap/>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Nov-20</w:t>
            </w:r>
          </w:p>
        </w:tc>
        <w:tc>
          <w:tcPr>
            <w:tcW w:w="1244" w:type="dxa"/>
            <w:tcBorders>
              <w:top w:val="nil"/>
              <w:left w:val="nil"/>
              <w:bottom w:val="nil"/>
              <w:right w:val="single" w:sz="4" w:space="0" w:color="auto"/>
            </w:tcBorders>
            <w:shd w:val="clear" w:color="8DB3E2" w:fill="95B3D7"/>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Percentage Change Over Month</w:t>
            </w:r>
          </w:p>
        </w:tc>
      </w:tr>
      <w:tr w:rsidR="00BB43D3" w:rsidRPr="00C21F81" w:rsidTr="0001273A">
        <w:trPr>
          <w:trHeight w:val="222"/>
        </w:trPr>
        <w:tc>
          <w:tcPr>
            <w:tcW w:w="9893" w:type="dxa"/>
            <w:gridSpan w:val="7"/>
            <w:tcBorders>
              <w:top w:val="single" w:sz="4" w:space="0" w:color="000000"/>
              <w:left w:val="single" w:sz="4" w:space="0" w:color="auto"/>
              <w:bottom w:val="single" w:sz="4" w:space="0" w:color="000000"/>
              <w:right w:val="single" w:sz="4" w:space="0" w:color="000000"/>
            </w:tcBorders>
            <w:shd w:val="clear" w:color="FFFFCC" w:fill="FFFFCC"/>
            <w:hideMark/>
          </w:tcPr>
          <w:p w:rsidR="00BB43D3" w:rsidRPr="00C21F81" w:rsidRDefault="00BB43D3" w:rsidP="0001273A">
            <w:pP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A. Turnover  (</w:t>
            </w:r>
            <w:r w:rsidRPr="006C6C07">
              <w:rPr>
                <w:rFonts w:ascii="Tahoma" w:eastAsia="Times New Roman" w:hAnsi="Tahoma" w:cs="Tahoma"/>
                <w:b/>
                <w:bCs/>
                <w:sz w:val="20"/>
                <w:szCs w:val="20"/>
                <w:lang w:val="en-US" w:bidi="hi-IN"/>
              </w:rPr>
              <w:t>₹</w:t>
            </w:r>
            <w:r w:rsidRPr="00C21F81">
              <w:rPr>
                <w:rFonts w:ascii="Palatino Linotype" w:hAnsi="Palatino Linotype"/>
                <w:b/>
                <w:bCs/>
                <w:sz w:val="16"/>
                <w:szCs w:val="16"/>
                <w:lang w:val="en-IN" w:eastAsia="en-IN" w:bidi="hi-IN"/>
              </w:rPr>
              <w:t>crore)</w:t>
            </w:r>
          </w:p>
        </w:tc>
      </w:tr>
      <w:tr w:rsidR="00BB43D3" w:rsidRPr="00C21F81" w:rsidTr="0001273A">
        <w:trPr>
          <w:trHeight w:val="222"/>
        </w:trPr>
        <w:tc>
          <w:tcPr>
            <w:tcW w:w="2122" w:type="dxa"/>
            <w:tcBorders>
              <w:top w:val="single" w:sz="4" w:space="0" w:color="000000"/>
              <w:left w:val="single" w:sz="4" w:space="0" w:color="auto"/>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 </w:t>
            </w:r>
            <w:r w:rsidRPr="00C21F81">
              <w:rPr>
                <w:rFonts w:ascii="Palatino Linotype" w:hAnsi="Palatino Linotype"/>
                <w:sz w:val="16"/>
                <w:szCs w:val="16"/>
                <w:lang w:val="en-IN" w:eastAsia="en-IN" w:bidi="hi-IN"/>
              </w:rPr>
              <w:tab/>
              <w:t>Index  Futures</w:t>
            </w:r>
          </w:p>
        </w:tc>
        <w:tc>
          <w:tcPr>
            <w:tcW w:w="1417" w:type="dxa"/>
            <w:tcBorders>
              <w:top w:val="single" w:sz="4" w:space="0" w:color="000000"/>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7,39,099.3</w:t>
            </w:r>
          </w:p>
        </w:tc>
        <w:tc>
          <w:tcPr>
            <w:tcW w:w="1276"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8,26,340.6</w:t>
            </w:r>
          </w:p>
        </w:tc>
        <w:tc>
          <w:tcPr>
            <w:tcW w:w="1134" w:type="dxa"/>
            <w:tcBorders>
              <w:top w:val="single" w:sz="4" w:space="0" w:color="auto"/>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11.8</w:t>
            </w:r>
          </w:p>
        </w:tc>
        <w:tc>
          <w:tcPr>
            <w:tcW w:w="1291" w:type="dxa"/>
            <w:tcBorders>
              <w:top w:val="single" w:sz="4" w:space="0" w:color="000000"/>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699.6</w:t>
            </w:r>
          </w:p>
        </w:tc>
        <w:tc>
          <w:tcPr>
            <w:tcW w:w="1393" w:type="dxa"/>
            <w:tcBorders>
              <w:top w:val="single" w:sz="4" w:space="0" w:color="000000"/>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565.3</w:t>
            </w:r>
          </w:p>
        </w:tc>
        <w:tc>
          <w:tcPr>
            <w:tcW w:w="1244" w:type="dxa"/>
            <w:tcBorders>
              <w:top w:val="single" w:sz="4" w:space="0" w:color="auto"/>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(19.2)</w:t>
            </w:r>
          </w:p>
        </w:tc>
      </w:tr>
      <w:tr w:rsidR="00BB43D3" w:rsidRPr="00C21F81" w:rsidTr="0001273A">
        <w:trPr>
          <w:trHeight w:val="222"/>
        </w:trPr>
        <w:tc>
          <w:tcPr>
            <w:tcW w:w="2122" w:type="dxa"/>
            <w:tcBorders>
              <w:top w:val="nil"/>
              <w:left w:val="single" w:sz="4" w:space="0" w:color="auto"/>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(ii) </w:t>
            </w:r>
            <w:r w:rsidRPr="00C21F81">
              <w:rPr>
                <w:rFonts w:ascii="Palatino Linotype" w:hAnsi="Palatino Linotype"/>
                <w:sz w:val="16"/>
                <w:szCs w:val="16"/>
                <w:lang w:val="en-IN" w:eastAsia="en-IN" w:bidi="hi-IN"/>
              </w:rPr>
              <w:tab/>
              <w:t>Options on Index</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76"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393"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r>
      <w:tr w:rsidR="00BB43D3" w:rsidRPr="00C21F81" w:rsidTr="0001273A">
        <w:trPr>
          <w:trHeight w:val="222"/>
        </w:trPr>
        <w:tc>
          <w:tcPr>
            <w:tcW w:w="2122" w:type="dxa"/>
            <w:tcBorders>
              <w:top w:val="nil"/>
              <w:left w:val="single" w:sz="4" w:space="0" w:color="auto"/>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i/>
                <w:iCs/>
                <w:sz w:val="16"/>
                <w:szCs w:val="16"/>
                <w:lang w:val="en-IN" w:eastAsia="en-IN" w:bidi="hi-IN"/>
              </w:rPr>
            </w:pPr>
            <w:r w:rsidRPr="00C21F81">
              <w:rPr>
                <w:rFonts w:ascii="Palatino Linotype" w:hAnsi="Palatino Linotype"/>
                <w:i/>
                <w:iCs/>
                <w:sz w:val="16"/>
                <w:szCs w:val="16"/>
                <w:lang w:val="en-IN" w:eastAsia="en-IN" w:bidi="hi-IN"/>
              </w:rPr>
              <w:tab/>
            </w:r>
            <w:r w:rsidRPr="00C21F81">
              <w:rPr>
                <w:rFonts w:ascii="Palatino Linotype" w:hAnsi="Palatino Linotype"/>
                <w:i/>
                <w:iCs/>
                <w:sz w:val="16"/>
                <w:szCs w:val="16"/>
                <w:lang w:val="en-IN" w:eastAsia="en-IN" w:bidi="hi-IN"/>
              </w:rPr>
              <w:tab/>
              <w:t>Put</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2,38,56,847.2</w:t>
            </w:r>
          </w:p>
        </w:tc>
        <w:tc>
          <w:tcPr>
            <w:tcW w:w="1276"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2,45,75,846.6</w:t>
            </w: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3.0</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16,51,682.5</w:t>
            </w:r>
          </w:p>
        </w:tc>
        <w:tc>
          <w:tcPr>
            <w:tcW w:w="1393"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24,95,821.6</w:t>
            </w: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51.1</w:t>
            </w:r>
          </w:p>
        </w:tc>
      </w:tr>
      <w:tr w:rsidR="00BB43D3" w:rsidRPr="00C21F81" w:rsidTr="0001273A">
        <w:trPr>
          <w:trHeight w:val="222"/>
        </w:trPr>
        <w:tc>
          <w:tcPr>
            <w:tcW w:w="2122" w:type="dxa"/>
            <w:tcBorders>
              <w:top w:val="nil"/>
              <w:left w:val="single" w:sz="4" w:space="0" w:color="auto"/>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i/>
                <w:iCs/>
                <w:sz w:val="16"/>
                <w:szCs w:val="16"/>
                <w:lang w:val="en-IN" w:eastAsia="en-IN" w:bidi="hi-IN"/>
              </w:rPr>
            </w:pPr>
            <w:r w:rsidRPr="00C21F81">
              <w:rPr>
                <w:rFonts w:ascii="Palatino Linotype" w:hAnsi="Palatino Linotype"/>
                <w:i/>
                <w:iCs/>
                <w:sz w:val="16"/>
                <w:szCs w:val="16"/>
                <w:lang w:val="en-IN" w:eastAsia="en-IN" w:bidi="hi-IN"/>
              </w:rPr>
              <w:tab/>
            </w:r>
            <w:r w:rsidRPr="00C21F81">
              <w:rPr>
                <w:rFonts w:ascii="Palatino Linotype" w:hAnsi="Palatino Linotype"/>
                <w:i/>
                <w:iCs/>
                <w:sz w:val="16"/>
                <w:szCs w:val="16"/>
                <w:lang w:val="en-IN" w:eastAsia="en-IN" w:bidi="hi-IN"/>
              </w:rPr>
              <w:tab/>
              <w:t>Call</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2,70,46,687.9</w:t>
            </w:r>
          </w:p>
        </w:tc>
        <w:tc>
          <w:tcPr>
            <w:tcW w:w="1276"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2,76,19,539.7</w:t>
            </w: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2.1</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17,40,130.1</w:t>
            </w:r>
          </w:p>
        </w:tc>
        <w:tc>
          <w:tcPr>
            <w:tcW w:w="1393"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18,82,107.6</w:t>
            </w: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8.2</w:t>
            </w:r>
          </w:p>
        </w:tc>
      </w:tr>
      <w:tr w:rsidR="00BB43D3" w:rsidRPr="00C21F81" w:rsidTr="0001273A">
        <w:trPr>
          <w:trHeight w:val="222"/>
        </w:trPr>
        <w:tc>
          <w:tcPr>
            <w:tcW w:w="2122" w:type="dxa"/>
            <w:tcBorders>
              <w:top w:val="nil"/>
              <w:left w:val="single" w:sz="4" w:space="0" w:color="auto"/>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(iii)</w:t>
            </w:r>
            <w:r w:rsidRPr="00C21F81">
              <w:rPr>
                <w:rFonts w:ascii="Palatino Linotype" w:hAnsi="Palatino Linotype"/>
                <w:sz w:val="16"/>
                <w:szCs w:val="16"/>
                <w:lang w:val="en-IN" w:eastAsia="en-IN" w:bidi="hi-IN"/>
              </w:rPr>
              <w:tab/>
              <w:t>Stock Futures</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14,46,063.8</w:t>
            </w:r>
          </w:p>
        </w:tc>
        <w:tc>
          <w:tcPr>
            <w:tcW w:w="1276"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15,43,447.1</w:t>
            </w: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6.7</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nil"/>
              <w:left w:val="single" w:sz="4" w:space="0" w:color="auto"/>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(iv)</w:t>
            </w:r>
            <w:r w:rsidRPr="00C21F81">
              <w:rPr>
                <w:rFonts w:ascii="Palatino Linotype" w:hAnsi="Palatino Linotype"/>
                <w:sz w:val="16"/>
                <w:szCs w:val="16"/>
                <w:lang w:val="en-IN" w:eastAsia="en-IN" w:bidi="hi-IN"/>
              </w:rPr>
              <w:tab/>
              <w:t>Options on Stock</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76"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393"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r>
      <w:tr w:rsidR="00BB43D3" w:rsidRPr="00C21F81" w:rsidTr="0001273A">
        <w:trPr>
          <w:trHeight w:val="222"/>
        </w:trPr>
        <w:tc>
          <w:tcPr>
            <w:tcW w:w="2122" w:type="dxa"/>
            <w:tcBorders>
              <w:top w:val="nil"/>
              <w:left w:val="single" w:sz="4" w:space="0" w:color="auto"/>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i/>
                <w:iCs/>
                <w:sz w:val="16"/>
                <w:szCs w:val="16"/>
                <w:lang w:val="en-IN" w:eastAsia="en-IN" w:bidi="hi-IN"/>
              </w:rPr>
            </w:pPr>
            <w:r w:rsidRPr="00C21F81">
              <w:rPr>
                <w:rFonts w:ascii="Palatino Linotype" w:hAnsi="Palatino Linotype"/>
                <w:i/>
                <w:iCs/>
                <w:sz w:val="16"/>
                <w:szCs w:val="16"/>
                <w:lang w:val="en-IN" w:eastAsia="en-IN" w:bidi="hi-IN"/>
              </w:rPr>
              <w:tab/>
            </w:r>
            <w:r w:rsidRPr="00C21F81">
              <w:rPr>
                <w:rFonts w:ascii="Palatino Linotype" w:hAnsi="Palatino Linotype"/>
                <w:i/>
                <w:iCs/>
                <w:sz w:val="16"/>
                <w:szCs w:val="16"/>
                <w:lang w:val="en-IN" w:eastAsia="en-IN" w:bidi="hi-IN"/>
              </w:rPr>
              <w:tab/>
              <w:t>Put</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6,47,436.3</w:t>
            </w:r>
          </w:p>
        </w:tc>
        <w:tc>
          <w:tcPr>
            <w:tcW w:w="1276"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7,14,625.5</w:t>
            </w: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10.4</w:t>
            </w:r>
          </w:p>
        </w:tc>
        <w:tc>
          <w:tcPr>
            <w:tcW w:w="1291" w:type="dxa"/>
            <w:tcBorders>
              <w:top w:val="nil"/>
              <w:left w:val="nil"/>
              <w:bottom w:val="nil"/>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nil"/>
              <w:right w:val="nil"/>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nil"/>
              <w:left w:val="single" w:sz="4" w:space="0" w:color="auto"/>
              <w:bottom w:val="single" w:sz="4" w:space="0" w:color="000000"/>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i/>
                <w:iCs/>
                <w:sz w:val="16"/>
                <w:szCs w:val="16"/>
                <w:lang w:val="en-IN" w:eastAsia="en-IN" w:bidi="hi-IN"/>
              </w:rPr>
            </w:pPr>
            <w:r w:rsidRPr="00C21F81">
              <w:rPr>
                <w:rFonts w:ascii="Palatino Linotype" w:hAnsi="Palatino Linotype"/>
                <w:i/>
                <w:iCs/>
                <w:sz w:val="16"/>
                <w:szCs w:val="16"/>
                <w:lang w:val="en-IN" w:eastAsia="en-IN" w:bidi="hi-IN"/>
              </w:rPr>
              <w:tab/>
            </w:r>
            <w:r w:rsidRPr="00C21F81">
              <w:rPr>
                <w:rFonts w:ascii="Palatino Linotype" w:hAnsi="Palatino Linotype"/>
                <w:i/>
                <w:iCs/>
                <w:sz w:val="16"/>
                <w:szCs w:val="16"/>
                <w:lang w:val="en-IN" w:eastAsia="en-IN" w:bidi="hi-IN"/>
              </w:rPr>
              <w:tab/>
              <w:t>Call</w:t>
            </w:r>
          </w:p>
        </w:tc>
        <w:tc>
          <w:tcPr>
            <w:tcW w:w="1417" w:type="dxa"/>
            <w:tcBorders>
              <w:top w:val="nil"/>
              <w:left w:val="nil"/>
              <w:bottom w:val="single" w:sz="4" w:space="0" w:color="000000"/>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15,45,489.8</w:t>
            </w:r>
          </w:p>
        </w:tc>
        <w:tc>
          <w:tcPr>
            <w:tcW w:w="1276" w:type="dxa"/>
            <w:tcBorders>
              <w:top w:val="nil"/>
              <w:left w:val="nil"/>
              <w:bottom w:val="single" w:sz="4" w:space="0" w:color="000000"/>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16,09,765.9</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4.2</w:t>
            </w:r>
          </w:p>
        </w:tc>
        <w:tc>
          <w:tcPr>
            <w:tcW w:w="1291" w:type="dxa"/>
            <w:tcBorders>
              <w:top w:val="nil"/>
              <w:left w:val="nil"/>
              <w:bottom w:val="nil"/>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nil"/>
              <w:right w:val="nil"/>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nil"/>
              <w:left w:val="single" w:sz="4" w:space="0" w:color="auto"/>
              <w:bottom w:val="nil"/>
              <w:right w:val="single" w:sz="4" w:space="0" w:color="000000"/>
            </w:tcBorders>
            <w:shd w:val="clear" w:color="C6D9F0" w:fill="95B3D7"/>
            <w:noWrap/>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Total</w:t>
            </w:r>
          </w:p>
        </w:tc>
        <w:tc>
          <w:tcPr>
            <w:tcW w:w="1417" w:type="dxa"/>
            <w:tcBorders>
              <w:top w:val="nil"/>
              <w:left w:val="nil"/>
              <w:bottom w:val="nil"/>
              <w:right w:val="single" w:sz="4" w:space="0" w:color="000000"/>
            </w:tcBorders>
            <w:shd w:val="clear" w:color="C6D9F0" w:fill="95B3D7"/>
            <w:noWrap/>
          </w:tcPr>
          <w:p w:rsidR="00BB43D3" w:rsidRPr="00C21F81" w:rsidRDefault="00BB43D3" w:rsidP="0001273A">
            <w:pPr>
              <w:jc w:val="right"/>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 xml:space="preserve"> 5,52,81,624.3 </w:t>
            </w:r>
          </w:p>
        </w:tc>
        <w:tc>
          <w:tcPr>
            <w:tcW w:w="1276" w:type="dxa"/>
            <w:tcBorders>
              <w:top w:val="nil"/>
              <w:left w:val="nil"/>
              <w:bottom w:val="nil"/>
              <w:right w:val="single" w:sz="4" w:space="0" w:color="000000"/>
            </w:tcBorders>
            <w:shd w:val="clear" w:color="C6D9F0" w:fill="95B3D7"/>
            <w:noWrap/>
          </w:tcPr>
          <w:p w:rsidR="00BB43D3" w:rsidRPr="00C21F81" w:rsidRDefault="00BB43D3" w:rsidP="0001273A">
            <w:pPr>
              <w:jc w:val="right"/>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 xml:space="preserve"> 5,68,89,565.3 </w:t>
            </w:r>
          </w:p>
        </w:tc>
        <w:tc>
          <w:tcPr>
            <w:tcW w:w="1134" w:type="dxa"/>
            <w:tcBorders>
              <w:top w:val="nil"/>
              <w:left w:val="nil"/>
              <w:bottom w:val="single" w:sz="4" w:space="0" w:color="auto"/>
              <w:right w:val="single" w:sz="4" w:space="0" w:color="auto"/>
            </w:tcBorders>
            <w:shd w:val="clear" w:color="000000" w:fill="95B3D7"/>
            <w:noWrap/>
          </w:tcPr>
          <w:p w:rsidR="00BB43D3" w:rsidRPr="00C21F81" w:rsidRDefault="00BB43D3" w:rsidP="0001273A">
            <w:pPr>
              <w:jc w:val="right"/>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2.9</w:t>
            </w:r>
          </w:p>
        </w:tc>
        <w:tc>
          <w:tcPr>
            <w:tcW w:w="1291" w:type="dxa"/>
            <w:tcBorders>
              <w:top w:val="single" w:sz="4" w:space="0" w:color="000000"/>
              <w:left w:val="nil"/>
              <w:bottom w:val="single" w:sz="4" w:space="0" w:color="auto"/>
              <w:right w:val="single" w:sz="4" w:space="0" w:color="auto"/>
            </w:tcBorders>
            <w:shd w:val="clear" w:color="C6D9F0" w:fill="95B3D7"/>
            <w:noWrap/>
          </w:tcPr>
          <w:p w:rsidR="00BB43D3" w:rsidRPr="00C21F81" w:rsidRDefault="00BB43D3" w:rsidP="0001273A">
            <w:pPr>
              <w:jc w:val="right"/>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 xml:space="preserve"> 33,92,512.3 </w:t>
            </w:r>
          </w:p>
        </w:tc>
        <w:tc>
          <w:tcPr>
            <w:tcW w:w="1393" w:type="dxa"/>
            <w:tcBorders>
              <w:top w:val="single" w:sz="4" w:space="0" w:color="000000"/>
              <w:left w:val="nil"/>
              <w:bottom w:val="nil"/>
              <w:right w:val="single" w:sz="4" w:space="0" w:color="000000"/>
            </w:tcBorders>
            <w:shd w:val="clear" w:color="C6D9F0" w:fill="95B3D7"/>
            <w:noWrap/>
          </w:tcPr>
          <w:p w:rsidR="00BB43D3" w:rsidRPr="00C21F81" w:rsidRDefault="00BB43D3" w:rsidP="0001273A">
            <w:pPr>
              <w:jc w:val="right"/>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 xml:space="preserve"> 43,78,494.5 </w:t>
            </w:r>
          </w:p>
        </w:tc>
        <w:tc>
          <w:tcPr>
            <w:tcW w:w="1244" w:type="dxa"/>
            <w:tcBorders>
              <w:top w:val="nil"/>
              <w:left w:val="nil"/>
              <w:bottom w:val="nil"/>
              <w:right w:val="single" w:sz="4" w:space="0" w:color="000000"/>
            </w:tcBorders>
            <w:shd w:val="clear" w:color="C6D9F0" w:fill="95B3D7"/>
            <w:noWrap/>
          </w:tcPr>
          <w:p w:rsidR="00BB43D3" w:rsidRPr="00C21F81" w:rsidRDefault="00BB43D3" w:rsidP="0001273A">
            <w:pPr>
              <w:jc w:val="right"/>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29.1</w:t>
            </w:r>
          </w:p>
        </w:tc>
      </w:tr>
      <w:tr w:rsidR="00BB43D3" w:rsidRPr="00C21F81" w:rsidTr="0001273A">
        <w:trPr>
          <w:trHeight w:val="222"/>
        </w:trPr>
        <w:tc>
          <w:tcPr>
            <w:tcW w:w="9893" w:type="dxa"/>
            <w:gridSpan w:val="7"/>
            <w:tcBorders>
              <w:top w:val="single" w:sz="4" w:space="0" w:color="auto"/>
              <w:left w:val="single" w:sz="4" w:space="0" w:color="auto"/>
              <w:bottom w:val="single" w:sz="4" w:space="0" w:color="auto"/>
              <w:right w:val="single" w:sz="4" w:space="0" w:color="000000"/>
            </w:tcBorders>
            <w:shd w:val="clear" w:color="FFFFCC" w:fill="FFFFCC"/>
            <w:hideMark/>
          </w:tcPr>
          <w:p w:rsidR="00BB43D3" w:rsidRPr="00C21F81" w:rsidRDefault="00BB43D3" w:rsidP="0001273A">
            <w:pP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B. No. of Contracts</w:t>
            </w:r>
          </w:p>
        </w:tc>
      </w:tr>
      <w:tr w:rsidR="00BB43D3" w:rsidRPr="00C21F81" w:rsidTr="0001273A">
        <w:trPr>
          <w:trHeight w:val="222"/>
        </w:trPr>
        <w:tc>
          <w:tcPr>
            <w:tcW w:w="2122" w:type="dxa"/>
            <w:tcBorders>
              <w:top w:val="nil"/>
              <w:left w:val="single" w:sz="4" w:space="0" w:color="auto"/>
              <w:bottom w:val="nil"/>
              <w:right w:val="nil"/>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 </w:t>
            </w:r>
            <w:r w:rsidRPr="00C21F81">
              <w:rPr>
                <w:rFonts w:ascii="Palatino Linotype" w:hAnsi="Palatino Linotype"/>
                <w:sz w:val="16"/>
                <w:szCs w:val="16"/>
                <w:lang w:val="en-IN" w:eastAsia="en-IN" w:bidi="hi-IN"/>
              </w:rPr>
              <w:tab/>
              <w:t>Index  Futures</w:t>
            </w:r>
          </w:p>
        </w:tc>
        <w:tc>
          <w:tcPr>
            <w:tcW w:w="1417" w:type="dxa"/>
            <w:tcBorders>
              <w:top w:val="single" w:sz="4" w:space="0" w:color="auto"/>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1,06,31,893</w:t>
            </w:r>
          </w:p>
        </w:tc>
        <w:tc>
          <w:tcPr>
            <w:tcW w:w="1276" w:type="dxa"/>
            <w:tcBorders>
              <w:top w:val="single" w:sz="4" w:space="0" w:color="auto"/>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1,05,16,563</w:t>
            </w:r>
          </w:p>
        </w:tc>
        <w:tc>
          <w:tcPr>
            <w:tcW w:w="1134" w:type="dxa"/>
            <w:tcBorders>
              <w:top w:val="single" w:sz="4" w:space="0" w:color="auto"/>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w:t>
            </w:r>
          </w:p>
        </w:tc>
        <w:tc>
          <w:tcPr>
            <w:tcW w:w="1291" w:type="dxa"/>
            <w:tcBorders>
              <w:top w:val="single" w:sz="4" w:space="0" w:color="auto"/>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7,543</w:t>
            </w:r>
          </w:p>
        </w:tc>
        <w:tc>
          <w:tcPr>
            <w:tcW w:w="1393" w:type="dxa"/>
            <w:tcBorders>
              <w:top w:val="single" w:sz="4" w:space="0" w:color="auto"/>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5,748</w:t>
            </w:r>
          </w:p>
        </w:tc>
        <w:tc>
          <w:tcPr>
            <w:tcW w:w="1244" w:type="dxa"/>
            <w:tcBorders>
              <w:top w:val="single" w:sz="4" w:space="0" w:color="auto"/>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(23.8)</w:t>
            </w:r>
          </w:p>
        </w:tc>
      </w:tr>
      <w:tr w:rsidR="00BB43D3" w:rsidRPr="00C21F81" w:rsidTr="0001273A">
        <w:trPr>
          <w:trHeight w:val="222"/>
        </w:trPr>
        <w:tc>
          <w:tcPr>
            <w:tcW w:w="2122" w:type="dxa"/>
            <w:tcBorders>
              <w:top w:val="nil"/>
              <w:left w:val="single" w:sz="4" w:space="0" w:color="auto"/>
              <w:bottom w:val="nil"/>
              <w:right w:val="nil"/>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(ii) </w:t>
            </w:r>
            <w:r w:rsidRPr="00C21F81">
              <w:rPr>
                <w:rFonts w:ascii="Palatino Linotype" w:hAnsi="Palatino Linotype"/>
                <w:sz w:val="16"/>
                <w:szCs w:val="16"/>
                <w:lang w:val="en-IN" w:eastAsia="en-IN" w:bidi="hi-IN"/>
              </w:rPr>
              <w:tab/>
              <w:t>Options on Index</w:t>
            </w:r>
          </w:p>
        </w:tc>
        <w:tc>
          <w:tcPr>
            <w:tcW w:w="1417"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r>
      <w:tr w:rsidR="00BB43D3" w:rsidRPr="00C21F81" w:rsidTr="0001273A">
        <w:trPr>
          <w:trHeight w:val="222"/>
        </w:trPr>
        <w:tc>
          <w:tcPr>
            <w:tcW w:w="2122" w:type="dxa"/>
            <w:tcBorders>
              <w:top w:val="nil"/>
              <w:left w:val="single" w:sz="4" w:space="0" w:color="auto"/>
              <w:bottom w:val="nil"/>
              <w:right w:val="nil"/>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Put</w:t>
            </w:r>
          </w:p>
        </w:tc>
        <w:tc>
          <w:tcPr>
            <w:tcW w:w="1417"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34,69,58,115</w:t>
            </w: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31,65,63,228</w:t>
            </w: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(8.8)</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2,00,07,431</w:t>
            </w: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2,87,81,217</w:t>
            </w: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43.9</w:t>
            </w:r>
          </w:p>
        </w:tc>
      </w:tr>
      <w:tr w:rsidR="00BB43D3" w:rsidRPr="00C21F81" w:rsidTr="0001273A">
        <w:trPr>
          <w:trHeight w:val="222"/>
        </w:trPr>
        <w:tc>
          <w:tcPr>
            <w:tcW w:w="2122" w:type="dxa"/>
            <w:tcBorders>
              <w:top w:val="nil"/>
              <w:left w:val="single" w:sz="4" w:space="0" w:color="000000"/>
              <w:bottom w:val="nil"/>
              <w:right w:val="nil"/>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Call</w:t>
            </w:r>
          </w:p>
        </w:tc>
        <w:tc>
          <w:tcPr>
            <w:tcW w:w="1417"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38,22,80,696</w:t>
            </w: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34,49,23,632</w:t>
            </w: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(9.8)</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1,76,57,324</w:t>
            </w: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1,80,12,565</w:t>
            </w: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2.0</w:t>
            </w:r>
          </w:p>
        </w:tc>
      </w:tr>
      <w:tr w:rsidR="00BB43D3" w:rsidRPr="00C21F81" w:rsidTr="0001273A">
        <w:trPr>
          <w:trHeight w:val="222"/>
        </w:trPr>
        <w:tc>
          <w:tcPr>
            <w:tcW w:w="2122" w:type="dxa"/>
            <w:tcBorders>
              <w:top w:val="nil"/>
              <w:left w:val="single" w:sz="4" w:space="0" w:color="000000"/>
              <w:bottom w:val="nil"/>
              <w:right w:val="nil"/>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(iii)</w:t>
            </w:r>
            <w:r w:rsidRPr="00C21F81">
              <w:rPr>
                <w:rFonts w:ascii="Palatino Linotype" w:hAnsi="Palatino Linotype"/>
                <w:sz w:val="16"/>
                <w:szCs w:val="16"/>
                <w:lang w:val="en-IN" w:eastAsia="en-IN" w:bidi="hi-IN"/>
              </w:rPr>
              <w:tab/>
              <w:t>Stock Futures</w:t>
            </w:r>
          </w:p>
        </w:tc>
        <w:tc>
          <w:tcPr>
            <w:tcW w:w="1417"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1,93,84,435</w:t>
            </w: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2,07,51,860</w:t>
            </w: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7.1</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nil"/>
              <w:left w:val="single" w:sz="4" w:space="0" w:color="000000"/>
              <w:bottom w:val="nil"/>
              <w:right w:val="nil"/>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(iv)</w:t>
            </w:r>
            <w:r w:rsidRPr="00C21F81">
              <w:rPr>
                <w:rFonts w:ascii="Palatino Linotype" w:hAnsi="Palatino Linotype"/>
                <w:sz w:val="16"/>
                <w:szCs w:val="16"/>
                <w:lang w:val="en-IN" w:eastAsia="en-IN" w:bidi="hi-IN"/>
              </w:rPr>
              <w:tab/>
              <w:t>Options on Stock</w:t>
            </w:r>
          </w:p>
        </w:tc>
        <w:tc>
          <w:tcPr>
            <w:tcW w:w="1417"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r>
      <w:tr w:rsidR="00BB43D3" w:rsidRPr="00C21F81" w:rsidTr="0001273A">
        <w:trPr>
          <w:trHeight w:val="222"/>
        </w:trPr>
        <w:tc>
          <w:tcPr>
            <w:tcW w:w="2122" w:type="dxa"/>
            <w:tcBorders>
              <w:top w:val="nil"/>
              <w:left w:val="single" w:sz="4" w:space="0" w:color="000000"/>
              <w:bottom w:val="nil"/>
              <w:right w:val="nil"/>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Put</w:t>
            </w:r>
          </w:p>
        </w:tc>
        <w:tc>
          <w:tcPr>
            <w:tcW w:w="1417"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85,85,986</w:t>
            </w: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95,62,043</w:t>
            </w: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11.4</w:t>
            </w:r>
          </w:p>
        </w:tc>
        <w:tc>
          <w:tcPr>
            <w:tcW w:w="1291" w:type="dxa"/>
            <w:tcBorders>
              <w:top w:val="nil"/>
              <w:left w:val="nil"/>
              <w:bottom w:val="nil"/>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nil"/>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nil"/>
              <w:left w:val="single" w:sz="4" w:space="0" w:color="000000"/>
              <w:bottom w:val="single" w:sz="4" w:space="0" w:color="000000"/>
              <w:right w:val="nil"/>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Call</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1,85,52,773</w:t>
            </w:r>
          </w:p>
        </w:tc>
        <w:tc>
          <w:tcPr>
            <w:tcW w:w="1276" w:type="dxa"/>
            <w:tcBorders>
              <w:top w:val="nil"/>
              <w:left w:val="nil"/>
              <w:bottom w:val="single" w:sz="4" w:space="0" w:color="auto"/>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1,98,87,191</w:t>
            </w:r>
          </w:p>
        </w:tc>
        <w:tc>
          <w:tcPr>
            <w:tcW w:w="1134" w:type="dxa"/>
            <w:tcBorders>
              <w:top w:val="nil"/>
              <w:left w:val="nil"/>
              <w:bottom w:val="single" w:sz="4" w:space="0" w:color="auto"/>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7.2</w:t>
            </w:r>
          </w:p>
        </w:tc>
        <w:tc>
          <w:tcPr>
            <w:tcW w:w="1291"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nil"/>
              <w:bottom w:val="single" w:sz="4" w:space="0" w:color="auto"/>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95B3D7"/>
            <w:noWrap/>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Total</w:t>
            </w:r>
          </w:p>
        </w:tc>
        <w:tc>
          <w:tcPr>
            <w:tcW w:w="1417" w:type="dxa"/>
            <w:tcBorders>
              <w:top w:val="nil"/>
              <w:left w:val="nil"/>
              <w:bottom w:val="nil"/>
              <w:right w:val="single" w:sz="4" w:space="0" w:color="000000"/>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78,63,93,898</w:t>
            </w:r>
          </w:p>
        </w:tc>
        <w:tc>
          <w:tcPr>
            <w:tcW w:w="1276" w:type="dxa"/>
            <w:tcBorders>
              <w:top w:val="nil"/>
              <w:left w:val="nil"/>
              <w:bottom w:val="nil"/>
              <w:right w:val="single" w:sz="4" w:space="0" w:color="000000"/>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72,22,04,517</w:t>
            </w:r>
          </w:p>
        </w:tc>
        <w:tc>
          <w:tcPr>
            <w:tcW w:w="1134" w:type="dxa"/>
            <w:tcBorders>
              <w:top w:val="nil"/>
              <w:left w:val="nil"/>
              <w:bottom w:val="nil"/>
              <w:right w:val="single" w:sz="4" w:space="0" w:color="000000"/>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-8.2</w:t>
            </w:r>
          </w:p>
        </w:tc>
        <w:tc>
          <w:tcPr>
            <w:tcW w:w="1291" w:type="dxa"/>
            <w:tcBorders>
              <w:top w:val="nil"/>
              <w:left w:val="nil"/>
              <w:bottom w:val="nil"/>
              <w:right w:val="single" w:sz="4" w:space="0" w:color="auto"/>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3,76,72,298</w:t>
            </w:r>
          </w:p>
        </w:tc>
        <w:tc>
          <w:tcPr>
            <w:tcW w:w="1393" w:type="dxa"/>
            <w:tcBorders>
              <w:top w:val="nil"/>
              <w:left w:val="nil"/>
              <w:bottom w:val="nil"/>
              <w:right w:val="single" w:sz="4" w:space="0" w:color="auto"/>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4,67,99,530</w:t>
            </w:r>
          </w:p>
        </w:tc>
        <w:tc>
          <w:tcPr>
            <w:tcW w:w="1244" w:type="dxa"/>
            <w:tcBorders>
              <w:top w:val="nil"/>
              <w:left w:val="nil"/>
              <w:bottom w:val="nil"/>
              <w:right w:val="single" w:sz="4" w:space="0" w:color="auto"/>
            </w:tcBorders>
            <w:shd w:val="clear" w:color="00000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24.2</w:t>
            </w:r>
          </w:p>
        </w:tc>
      </w:tr>
      <w:tr w:rsidR="00BB43D3" w:rsidRPr="00C21F81" w:rsidTr="0001273A">
        <w:trPr>
          <w:trHeight w:val="222"/>
        </w:trPr>
        <w:tc>
          <w:tcPr>
            <w:tcW w:w="9893" w:type="dxa"/>
            <w:gridSpan w:val="7"/>
            <w:tcBorders>
              <w:top w:val="single" w:sz="4" w:space="0" w:color="auto"/>
              <w:left w:val="single" w:sz="4" w:space="0" w:color="auto"/>
              <w:bottom w:val="single" w:sz="4" w:space="0" w:color="auto"/>
              <w:right w:val="single" w:sz="4" w:space="0" w:color="000000"/>
            </w:tcBorders>
            <w:shd w:val="clear" w:color="FFFFCC" w:fill="FFFFCC"/>
            <w:hideMark/>
          </w:tcPr>
          <w:p w:rsidR="00BB43D3" w:rsidRPr="00C21F81" w:rsidRDefault="00BB43D3" w:rsidP="0001273A">
            <w:pP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C.  Open Interest in Terms of Value (</w:t>
            </w:r>
            <w:r w:rsidRPr="006C6C07">
              <w:rPr>
                <w:rFonts w:ascii="Tahoma" w:eastAsia="Times New Roman" w:hAnsi="Tahoma" w:cs="Tahoma"/>
                <w:b/>
                <w:bCs/>
                <w:sz w:val="20"/>
                <w:szCs w:val="20"/>
                <w:lang w:val="en-US" w:bidi="hi-IN"/>
              </w:rPr>
              <w:t>₹</w:t>
            </w:r>
            <w:r w:rsidRPr="00C21F81">
              <w:rPr>
                <w:rFonts w:ascii="Palatino Linotype" w:hAnsi="Palatino Linotype"/>
                <w:b/>
                <w:bCs/>
                <w:sz w:val="16"/>
                <w:szCs w:val="16"/>
                <w:lang w:val="en-IN" w:eastAsia="en-IN" w:bidi="hi-IN"/>
              </w:rPr>
              <w:t>crore)</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 </w:t>
            </w:r>
            <w:r w:rsidRPr="00C21F81">
              <w:rPr>
                <w:rFonts w:ascii="Palatino Linotype" w:hAnsi="Palatino Linotype"/>
                <w:sz w:val="16"/>
                <w:szCs w:val="16"/>
                <w:lang w:val="en-IN" w:eastAsia="en-IN" w:bidi="hi-IN"/>
              </w:rPr>
              <w:tab/>
              <w:t>Index  Futures</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17,817.3</w:t>
            </w: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20,934.5</w:t>
            </w: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17.5</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7.2</w:t>
            </w: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27.7</w:t>
            </w: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283.4</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(ii) </w:t>
            </w:r>
            <w:r w:rsidRPr="00C21F81">
              <w:rPr>
                <w:rFonts w:ascii="Palatino Linotype" w:hAnsi="Palatino Linotype"/>
                <w:sz w:val="16"/>
                <w:szCs w:val="16"/>
                <w:lang w:val="en-IN" w:eastAsia="en-IN" w:bidi="hi-IN"/>
              </w:rPr>
              <w:tab/>
              <w:t>Options on Index</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Put</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87,538.4</w:t>
            </w: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1,12,063.9</w:t>
            </w: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28.0</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72.4</w:t>
            </w: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885.9</w:t>
            </w: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1,124.5</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Call</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67,988.0</w:t>
            </w: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94,094.6</w:t>
            </w: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38.4</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271.9</w:t>
            </w: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480.1</w:t>
            </w: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76.6</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(iii) </w:t>
            </w:r>
            <w:r w:rsidRPr="00C21F81">
              <w:rPr>
                <w:rFonts w:ascii="Palatino Linotype" w:hAnsi="Palatino Linotype"/>
                <w:sz w:val="16"/>
                <w:szCs w:val="16"/>
                <w:lang w:val="en-IN" w:eastAsia="en-IN" w:bidi="hi-IN"/>
              </w:rPr>
              <w:tab/>
              <w:t>Stock Futures</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99,512.6</w:t>
            </w: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1,17,696.1</w:t>
            </w: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18.3</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(iv)</w:t>
            </w:r>
            <w:r w:rsidRPr="00C21F81">
              <w:rPr>
                <w:rFonts w:ascii="Palatino Linotype" w:hAnsi="Palatino Linotype"/>
                <w:sz w:val="16"/>
                <w:szCs w:val="16"/>
                <w:lang w:val="en-IN" w:eastAsia="en-IN" w:bidi="hi-IN"/>
              </w:rPr>
              <w:tab/>
              <w:t>Options on Stock</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393"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Put</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12,252.7</w:t>
            </w: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14,726.9</w:t>
            </w: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20.2</w:t>
            </w:r>
          </w:p>
        </w:tc>
        <w:tc>
          <w:tcPr>
            <w:tcW w:w="1291" w:type="dxa"/>
            <w:tcBorders>
              <w:top w:val="nil"/>
              <w:left w:val="nil"/>
              <w:bottom w:val="nil"/>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nil"/>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Call</w:t>
            </w:r>
          </w:p>
        </w:tc>
        <w:tc>
          <w:tcPr>
            <w:tcW w:w="1417"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21,889.2</w:t>
            </w:r>
          </w:p>
        </w:tc>
        <w:tc>
          <w:tcPr>
            <w:tcW w:w="1276"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24,918.0</w:t>
            </w:r>
          </w:p>
        </w:tc>
        <w:tc>
          <w:tcPr>
            <w:tcW w:w="113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13.8</w:t>
            </w:r>
          </w:p>
        </w:tc>
        <w:tc>
          <w:tcPr>
            <w:tcW w:w="1291" w:type="dxa"/>
            <w:tcBorders>
              <w:top w:val="nil"/>
              <w:left w:val="nil"/>
              <w:bottom w:val="nil"/>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single" w:sz="4" w:space="0" w:color="000000"/>
              <w:left w:val="single" w:sz="4" w:space="0" w:color="000000"/>
              <w:bottom w:val="single" w:sz="4" w:space="0" w:color="000000"/>
              <w:right w:val="single" w:sz="4" w:space="0" w:color="000000"/>
            </w:tcBorders>
            <w:shd w:val="clear" w:color="C6D9F0" w:fill="95B3D7"/>
            <w:noWrap/>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Total</w:t>
            </w:r>
          </w:p>
        </w:tc>
        <w:tc>
          <w:tcPr>
            <w:tcW w:w="1417" w:type="dxa"/>
            <w:tcBorders>
              <w:top w:val="single" w:sz="4" w:space="0" w:color="000000"/>
              <w:left w:val="nil"/>
              <w:bottom w:val="single" w:sz="4" w:space="0" w:color="000000"/>
              <w:right w:val="single" w:sz="4" w:space="0" w:color="000000"/>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3,06,998.0</w:t>
            </w:r>
          </w:p>
        </w:tc>
        <w:tc>
          <w:tcPr>
            <w:tcW w:w="1276" w:type="dxa"/>
            <w:tcBorders>
              <w:top w:val="single" w:sz="4" w:space="0" w:color="000000"/>
              <w:left w:val="nil"/>
              <w:bottom w:val="single" w:sz="4" w:space="0" w:color="000000"/>
              <w:right w:val="single" w:sz="4" w:space="0" w:color="000000"/>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3,84,434.0</w:t>
            </w:r>
          </w:p>
        </w:tc>
        <w:tc>
          <w:tcPr>
            <w:tcW w:w="1134" w:type="dxa"/>
            <w:tcBorders>
              <w:top w:val="single" w:sz="4" w:space="0" w:color="000000"/>
              <w:left w:val="nil"/>
              <w:bottom w:val="single" w:sz="4" w:space="0" w:color="000000"/>
              <w:right w:val="single" w:sz="4" w:space="0" w:color="000000"/>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25.2</w:t>
            </w:r>
          </w:p>
        </w:tc>
        <w:tc>
          <w:tcPr>
            <w:tcW w:w="1291" w:type="dxa"/>
            <w:tcBorders>
              <w:top w:val="single" w:sz="4" w:space="0" w:color="000000"/>
              <w:left w:val="nil"/>
              <w:bottom w:val="single" w:sz="4" w:space="0" w:color="000000"/>
              <w:right w:val="single" w:sz="4" w:space="0" w:color="auto"/>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351.4</w:t>
            </w:r>
          </w:p>
        </w:tc>
        <w:tc>
          <w:tcPr>
            <w:tcW w:w="1393" w:type="dxa"/>
            <w:tcBorders>
              <w:top w:val="nil"/>
              <w:left w:val="nil"/>
              <w:bottom w:val="single" w:sz="4" w:space="0" w:color="000000"/>
              <w:right w:val="nil"/>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1,393.8</w:t>
            </w:r>
          </w:p>
        </w:tc>
        <w:tc>
          <w:tcPr>
            <w:tcW w:w="1244" w:type="dxa"/>
            <w:tcBorders>
              <w:top w:val="single" w:sz="4" w:space="0" w:color="auto"/>
              <w:left w:val="single" w:sz="4" w:space="0" w:color="auto"/>
              <w:bottom w:val="single" w:sz="4" w:space="0" w:color="auto"/>
              <w:right w:val="single" w:sz="4" w:space="0" w:color="auto"/>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296.6</w:t>
            </w:r>
          </w:p>
        </w:tc>
      </w:tr>
      <w:tr w:rsidR="00BB43D3" w:rsidRPr="00C21F81" w:rsidTr="0001273A">
        <w:trPr>
          <w:trHeight w:val="222"/>
        </w:trPr>
        <w:tc>
          <w:tcPr>
            <w:tcW w:w="9893" w:type="dxa"/>
            <w:gridSpan w:val="7"/>
            <w:tcBorders>
              <w:top w:val="single" w:sz="4" w:space="0" w:color="000000"/>
              <w:left w:val="single" w:sz="4" w:space="0" w:color="000000"/>
              <w:bottom w:val="single" w:sz="4" w:space="0" w:color="000000"/>
              <w:right w:val="single" w:sz="4" w:space="0" w:color="000000"/>
            </w:tcBorders>
            <w:shd w:val="clear" w:color="FFFFCC" w:fill="FFFFCC"/>
            <w:hideMark/>
          </w:tcPr>
          <w:p w:rsidR="00BB43D3" w:rsidRPr="00C21F81" w:rsidRDefault="00BB43D3" w:rsidP="0001273A">
            <w:pP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D.  Open Interest in Terms of No of Contracts</w:t>
            </w:r>
          </w:p>
        </w:tc>
      </w:tr>
      <w:tr w:rsidR="00BB43D3" w:rsidRPr="00C21F81" w:rsidTr="0001273A">
        <w:trPr>
          <w:trHeight w:val="222"/>
        </w:trPr>
        <w:tc>
          <w:tcPr>
            <w:tcW w:w="2122" w:type="dxa"/>
            <w:tcBorders>
              <w:top w:val="single" w:sz="4" w:space="0" w:color="000000"/>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 </w:t>
            </w:r>
            <w:r w:rsidRPr="00C21F81">
              <w:rPr>
                <w:rFonts w:ascii="Palatino Linotype" w:hAnsi="Palatino Linotype"/>
                <w:sz w:val="16"/>
                <w:szCs w:val="16"/>
                <w:lang w:val="en-IN" w:eastAsia="en-IN" w:bidi="hi-IN"/>
              </w:rPr>
              <w:tab/>
              <w:t>Index  Futures</w:t>
            </w:r>
          </w:p>
        </w:tc>
        <w:tc>
          <w:tcPr>
            <w:tcW w:w="1417" w:type="dxa"/>
            <w:tcBorders>
              <w:top w:val="single" w:sz="4" w:space="0" w:color="000000"/>
              <w:left w:val="nil"/>
              <w:bottom w:val="nil"/>
              <w:right w:val="single" w:sz="4" w:space="0" w:color="000000"/>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2,26,972</w:t>
            </w:r>
          </w:p>
        </w:tc>
        <w:tc>
          <w:tcPr>
            <w:tcW w:w="1276" w:type="dxa"/>
            <w:tcBorders>
              <w:top w:val="single" w:sz="4" w:space="0" w:color="000000"/>
              <w:left w:val="nil"/>
              <w:bottom w:val="nil"/>
              <w:right w:val="single" w:sz="4" w:space="0" w:color="000000"/>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2,29,685</w:t>
            </w:r>
          </w:p>
        </w:tc>
        <w:tc>
          <w:tcPr>
            <w:tcW w:w="1134" w:type="dxa"/>
            <w:tcBorders>
              <w:top w:val="single" w:sz="4" w:space="0" w:color="auto"/>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1.2</w:t>
            </w:r>
          </w:p>
        </w:tc>
        <w:tc>
          <w:tcPr>
            <w:tcW w:w="1291" w:type="dxa"/>
            <w:tcBorders>
              <w:top w:val="single" w:sz="4" w:space="0" w:color="auto"/>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79</w:t>
            </w:r>
          </w:p>
        </w:tc>
        <w:tc>
          <w:tcPr>
            <w:tcW w:w="1393" w:type="dxa"/>
            <w:tcBorders>
              <w:top w:val="single" w:sz="4" w:space="0" w:color="auto"/>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91</w:t>
            </w:r>
          </w:p>
        </w:tc>
        <w:tc>
          <w:tcPr>
            <w:tcW w:w="1244" w:type="dxa"/>
            <w:tcBorders>
              <w:top w:val="single" w:sz="4" w:space="0" w:color="auto"/>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15.2</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(ii) </w:t>
            </w:r>
            <w:r w:rsidRPr="00C21F81">
              <w:rPr>
                <w:rFonts w:ascii="Palatino Linotype" w:hAnsi="Palatino Linotype"/>
                <w:sz w:val="16"/>
                <w:szCs w:val="16"/>
                <w:lang w:val="en-IN" w:eastAsia="en-IN" w:bidi="hi-IN"/>
              </w:rPr>
              <w:tab/>
              <w:t>Options on Index</w:t>
            </w:r>
          </w:p>
        </w:tc>
        <w:tc>
          <w:tcPr>
            <w:tcW w:w="1417"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76" w:type="dxa"/>
            <w:tcBorders>
              <w:top w:val="nil"/>
              <w:left w:val="single" w:sz="4" w:space="0" w:color="auto"/>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393"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Put</w:t>
            </w:r>
          </w:p>
        </w:tc>
        <w:tc>
          <w:tcPr>
            <w:tcW w:w="1417"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10,85,485</w:t>
            </w:r>
          </w:p>
        </w:tc>
        <w:tc>
          <w:tcPr>
            <w:tcW w:w="1276" w:type="dxa"/>
            <w:tcBorders>
              <w:top w:val="nil"/>
              <w:left w:val="single" w:sz="4" w:space="0" w:color="auto"/>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12,29,811</w:t>
            </w: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13.3</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791</w:t>
            </w:r>
          </w:p>
        </w:tc>
        <w:tc>
          <w:tcPr>
            <w:tcW w:w="1393"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2,908</w:t>
            </w: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267.6</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Call</w:t>
            </w:r>
          </w:p>
        </w:tc>
        <w:tc>
          <w:tcPr>
            <w:tcW w:w="1417"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8,77,524</w:t>
            </w:r>
          </w:p>
        </w:tc>
        <w:tc>
          <w:tcPr>
            <w:tcW w:w="1276" w:type="dxa"/>
            <w:tcBorders>
              <w:top w:val="nil"/>
              <w:left w:val="single" w:sz="4" w:space="0" w:color="auto"/>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10,49,866</w:t>
            </w: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19.6</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2,972</w:t>
            </w:r>
          </w:p>
        </w:tc>
        <w:tc>
          <w:tcPr>
            <w:tcW w:w="1393"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1,576</w:t>
            </w: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(47.0)</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(iii) </w:t>
            </w:r>
            <w:r w:rsidRPr="00C21F81">
              <w:rPr>
                <w:rFonts w:ascii="Palatino Linotype" w:hAnsi="Palatino Linotype"/>
                <w:sz w:val="16"/>
                <w:szCs w:val="16"/>
                <w:lang w:val="en-IN" w:eastAsia="en-IN" w:bidi="hi-IN"/>
              </w:rPr>
              <w:tab/>
              <w:t>Stock Futures</w:t>
            </w:r>
          </w:p>
        </w:tc>
        <w:tc>
          <w:tcPr>
            <w:tcW w:w="1417"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15,03,589</w:t>
            </w:r>
          </w:p>
        </w:tc>
        <w:tc>
          <w:tcPr>
            <w:tcW w:w="1276" w:type="dxa"/>
            <w:tcBorders>
              <w:top w:val="nil"/>
              <w:left w:val="single" w:sz="4" w:space="0" w:color="auto"/>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15,64,283</w:t>
            </w: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4.0</w:t>
            </w: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 xml:space="preserve">(iv) </w:t>
            </w:r>
            <w:r w:rsidRPr="00C21F81">
              <w:rPr>
                <w:rFonts w:ascii="Palatino Linotype" w:hAnsi="Palatino Linotype"/>
                <w:sz w:val="16"/>
                <w:szCs w:val="16"/>
                <w:lang w:val="en-IN" w:eastAsia="en-IN" w:bidi="hi-IN"/>
              </w:rPr>
              <w:tab/>
              <w:t>Options on Stock</w:t>
            </w:r>
          </w:p>
        </w:tc>
        <w:tc>
          <w:tcPr>
            <w:tcW w:w="1417"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76" w:type="dxa"/>
            <w:tcBorders>
              <w:top w:val="nil"/>
              <w:left w:val="single" w:sz="4" w:space="0" w:color="auto"/>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91" w:type="dxa"/>
            <w:tcBorders>
              <w:top w:val="nil"/>
              <w:left w:val="nil"/>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393"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p>
        </w:tc>
      </w:tr>
      <w:tr w:rsidR="00BB43D3" w:rsidRPr="00C21F81" w:rsidTr="0001273A">
        <w:trPr>
          <w:trHeight w:val="222"/>
        </w:trPr>
        <w:tc>
          <w:tcPr>
            <w:tcW w:w="2122" w:type="dxa"/>
            <w:tcBorders>
              <w:top w:val="nil"/>
              <w:left w:val="single" w:sz="4" w:space="0" w:color="000000"/>
              <w:bottom w:val="nil"/>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Put</w:t>
            </w:r>
          </w:p>
        </w:tc>
        <w:tc>
          <w:tcPr>
            <w:tcW w:w="1417" w:type="dxa"/>
            <w:tcBorders>
              <w:top w:val="nil"/>
              <w:left w:val="nil"/>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1,79,340</w:t>
            </w:r>
          </w:p>
        </w:tc>
        <w:tc>
          <w:tcPr>
            <w:tcW w:w="1276" w:type="dxa"/>
            <w:tcBorders>
              <w:top w:val="nil"/>
              <w:left w:val="single" w:sz="4" w:space="0" w:color="auto"/>
              <w:bottom w:val="nil"/>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1,91,888</w:t>
            </w:r>
          </w:p>
        </w:tc>
        <w:tc>
          <w:tcPr>
            <w:tcW w:w="113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7.0</w:t>
            </w:r>
          </w:p>
        </w:tc>
        <w:tc>
          <w:tcPr>
            <w:tcW w:w="1291" w:type="dxa"/>
            <w:tcBorders>
              <w:top w:val="nil"/>
              <w:left w:val="nil"/>
              <w:bottom w:val="nil"/>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nil"/>
              <w:right w:val="nil"/>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222"/>
        </w:trPr>
        <w:tc>
          <w:tcPr>
            <w:tcW w:w="2122" w:type="dxa"/>
            <w:tcBorders>
              <w:top w:val="nil"/>
              <w:left w:val="single" w:sz="4" w:space="0" w:color="000000"/>
              <w:bottom w:val="single" w:sz="4" w:space="0" w:color="000000"/>
              <w:right w:val="single" w:sz="4" w:space="0" w:color="000000"/>
            </w:tcBorders>
            <w:shd w:val="clear" w:color="C6D9F0" w:fill="C6D9F0"/>
            <w:noWrap/>
            <w:hideMark/>
          </w:tcPr>
          <w:p w:rsidR="00BB43D3" w:rsidRPr="00C21F81" w:rsidRDefault="00BB43D3" w:rsidP="0001273A">
            <w:pPr>
              <w:tabs>
                <w:tab w:val="left" w:pos="317"/>
                <w:tab w:val="left" w:pos="458"/>
              </w:tabs>
              <w:rPr>
                <w:rFonts w:ascii="Palatino Linotype" w:hAnsi="Palatino Linotype"/>
                <w:sz w:val="16"/>
                <w:szCs w:val="16"/>
                <w:lang w:val="en-IN" w:eastAsia="en-IN" w:bidi="hi-IN"/>
              </w:rPr>
            </w:pPr>
            <w:r w:rsidRPr="00C21F81">
              <w:rPr>
                <w:rFonts w:ascii="Palatino Linotype" w:hAnsi="Palatino Linotype"/>
                <w:sz w:val="16"/>
                <w:szCs w:val="16"/>
                <w:lang w:val="en-IN" w:eastAsia="en-IN" w:bidi="hi-IN"/>
              </w:rPr>
              <w:tab/>
            </w:r>
            <w:r w:rsidRPr="00C21F81">
              <w:rPr>
                <w:rFonts w:ascii="Palatino Linotype" w:hAnsi="Palatino Linotype"/>
                <w:sz w:val="16"/>
                <w:szCs w:val="16"/>
                <w:lang w:val="en-IN" w:eastAsia="en-IN" w:bidi="hi-IN"/>
              </w:rPr>
              <w:tab/>
              <w:t>Call</w:t>
            </w:r>
          </w:p>
        </w:tc>
        <w:tc>
          <w:tcPr>
            <w:tcW w:w="1417" w:type="dxa"/>
            <w:tcBorders>
              <w:top w:val="nil"/>
              <w:left w:val="nil"/>
              <w:bottom w:val="single" w:sz="4" w:space="0" w:color="auto"/>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3,17,240</w:t>
            </w:r>
          </w:p>
        </w:tc>
        <w:tc>
          <w:tcPr>
            <w:tcW w:w="1276" w:type="dxa"/>
            <w:tcBorders>
              <w:top w:val="nil"/>
              <w:left w:val="single" w:sz="4" w:space="0" w:color="auto"/>
              <w:bottom w:val="single" w:sz="4" w:space="0" w:color="auto"/>
              <w:right w:val="nil"/>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3,30,336</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4.1</w:t>
            </w:r>
          </w:p>
        </w:tc>
        <w:tc>
          <w:tcPr>
            <w:tcW w:w="1291"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393" w:type="dxa"/>
            <w:tcBorders>
              <w:top w:val="nil"/>
              <w:left w:val="nil"/>
              <w:bottom w:val="single" w:sz="4" w:space="0" w:color="auto"/>
              <w:right w:val="nil"/>
            </w:tcBorders>
            <w:shd w:val="clear" w:color="auto" w:fill="auto"/>
            <w:noWrap/>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c>
          <w:tcPr>
            <w:tcW w:w="1244" w:type="dxa"/>
            <w:tcBorders>
              <w:top w:val="nil"/>
              <w:left w:val="single" w:sz="4" w:space="0" w:color="auto"/>
              <w:bottom w:val="nil"/>
              <w:right w:val="single" w:sz="4" w:space="0" w:color="auto"/>
            </w:tcBorders>
            <w:shd w:val="clear" w:color="auto" w:fill="auto"/>
            <w:noWrap/>
            <w:vAlign w:val="center"/>
          </w:tcPr>
          <w:p w:rsidR="00BB43D3" w:rsidRPr="00C21F81" w:rsidRDefault="00BB43D3" w:rsidP="0001273A">
            <w:pPr>
              <w:jc w:val="right"/>
              <w:rPr>
                <w:rFonts w:ascii="Palatino Linotype" w:hAnsi="Palatino Linotype"/>
                <w:sz w:val="18"/>
                <w:szCs w:val="18"/>
              </w:rPr>
            </w:pPr>
            <w:r w:rsidRPr="00C21F81">
              <w:rPr>
                <w:rFonts w:ascii="Palatino Linotype" w:hAnsi="Palatino Linotype"/>
                <w:sz w:val="18"/>
                <w:szCs w:val="18"/>
              </w:rPr>
              <w:t>-</w:t>
            </w:r>
          </w:p>
        </w:tc>
      </w:tr>
      <w:tr w:rsidR="00BB43D3" w:rsidRPr="00C21F81" w:rsidTr="0001273A">
        <w:trPr>
          <w:trHeight w:val="70"/>
        </w:trPr>
        <w:tc>
          <w:tcPr>
            <w:tcW w:w="2122" w:type="dxa"/>
            <w:tcBorders>
              <w:top w:val="nil"/>
              <w:left w:val="single" w:sz="4" w:space="0" w:color="000000"/>
              <w:bottom w:val="single" w:sz="4" w:space="0" w:color="000000"/>
              <w:right w:val="single" w:sz="4" w:space="0" w:color="000000"/>
            </w:tcBorders>
            <w:shd w:val="clear" w:color="C6D9F0" w:fill="95B3D7"/>
            <w:noWrap/>
            <w:hideMark/>
          </w:tcPr>
          <w:p w:rsidR="00BB43D3" w:rsidRPr="00C21F81" w:rsidRDefault="00BB43D3" w:rsidP="0001273A">
            <w:pPr>
              <w:jc w:val="center"/>
              <w:rPr>
                <w:rFonts w:ascii="Palatino Linotype" w:hAnsi="Palatino Linotype"/>
                <w:b/>
                <w:bCs/>
                <w:sz w:val="16"/>
                <w:szCs w:val="16"/>
                <w:lang w:val="en-IN" w:eastAsia="en-IN" w:bidi="hi-IN"/>
              </w:rPr>
            </w:pPr>
            <w:r w:rsidRPr="00C21F81">
              <w:rPr>
                <w:rFonts w:ascii="Palatino Linotype" w:hAnsi="Palatino Linotype"/>
                <w:b/>
                <w:bCs/>
                <w:sz w:val="16"/>
                <w:szCs w:val="16"/>
                <w:lang w:val="en-IN" w:eastAsia="en-IN" w:bidi="hi-IN"/>
              </w:rPr>
              <w:t>Total</w:t>
            </w:r>
          </w:p>
        </w:tc>
        <w:tc>
          <w:tcPr>
            <w:tcW w:w="1417" w:type="dxa"/>
            <w:tcBorders>
              <w:top w:val="nil"/>
              <w:left w:val="nil"/>
              <w:bottom w:val="single" w:sz="4" w:space="0" w:color="000000"/>
              <w:right w:val="single" w:sz="4" w:space="0" w:color="000000"/>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41,90,150</w:t>
            </w:r>
          </w:p>
        </w:tc>
        <w:tc>
          <w:tcPr>
            <w:tcW w:w="1276" w:type="dxa"/>
            <w:tcBorders>
              <w:top w:val="nil"/>
              <w:left w:val="nil"/>
              <w:bottom w:val="single" w:sz="4" w:space="0" w:color="000000"/>
              <w:right w:val="single" w:sz="4" w:space="0" w:color="000000"/>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45,95,869</w:t>
            </w:r>
          </w:p>
        </w:tc>
        <w:tc>
          <w:tcPr>
            <w:tcW w:w="1134" w:type="dxa"/>
            <w:tcBorders>
              <w:top w:val="nil"/>
              <w:left w:val="nil"/>
              <w:bottom w:val="single" w:sz="4" w:space="0" w:color="000000"/>
              <w:right w:val="single" w:sz="4" w:space="0" w:color="000000"/>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9.7</w:t>
            </w:r>
          </w:p>
        </w:tc>
        <w:tc>
          <w:tcPr>
            <w:tcW w:w="1291" w:type="dxa"/>
            <w:tcBorders>
              <w:top w:val="nil"/>
              <w:left w:val="nil"/>
              <w:bottom w:val="single" w:sz="4" w:space="0" w:color="000000"/>
              <w:right w:val="single" w:sz="4" w:space="0" w:color="auto"/>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3,842</w:t>
            </w:r>
          </w:p>
        </w:tc>
        <w:tc>
          <w:tcPr>
            <w:tcW w:w="1393" w:type="dxa"/>
            <w:tcBorders>
              <w:top w:val="nil"/>
              <w:left w:val="nil"/>
              <w:bottom w:val="single" w:sz="4" w:space="0" w:color="000000"/>
              <w:right w:val="nil"/>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4,575</w:t>
            </w:r>
          </w:p>
        </w:tc>
        <w:tc>
          <w:tcPr>
            <w:tcW w:w="1244" w:type="dxa"/>
            <w:tcBorders>
              <w:top w:val="single" w:sz="4" w:space="0" w:color="auto"/>
              <w:left w:val="single" w:sz="4" w:space="0" w:color="auto"/>
              <w:bottom w:val="single" w:sz="4" w:space="0" w:color="auto"/>
              <w:right w:val="single" w:sz="4" w:space="0" w:color="auto"/>
            </w:tcBorders>
            <w:shd w:val="clear" w:color="C6D9F0" w:fill="95B3D7"/>
            <w:noWrap/>
            <w:vAlign w:val="center"/>
          </w:tcPr>
          <w:p w:rsidR="00BB43D3" w:rsidRPr="00C21F81" w:rsidRDefault="00BB43D3" w:rsidP="0001273A">
            <w:pPr>
              <w:jc w:val="right"/>
              <w:rPr>
                <w:rFonts w:ascii="Palatino Linotype" w:hAnsi="Palatino Linotype"/>
                <w:b/>
                <w:bCs/>
                <w:sz w:val="18"/>
                <w:szCs w:val="18"/>
              </w:rPr>
            </w:pPr>
            <w:r w:rsidRPr="00C21F81">
              <w:rPr>
                <w:rFonts w:ascii="Palatino Linotype" w:hAnsi="Palatino Linotype"/>
                <w:b/>
                <w:bCs/>
                <w:sz w:val="18"/>
                <w:szCs w:val="18"/>
              </w:rPr>
              <w:t>19.1</w:t>
            </w:r>
          </w:p>
        </w:tc>
      </w:tr>
    </w:tbl>
    <w:p w:rsidR="00BB43D3" w:rsidRPr="006C6C07" w:rsidRDefault="00BB43D3" w:rsidP="00BB43D3">
      <w:pPr>
        <w:tabs>
          <w:tab w:val="left" w:pos="3135"/>
        </w:tabs>
        <w:spacing w:line="276" w:lineRule="auto"/>
        <w:rPr>
          <w:rFonts w:ascii="Palatino Linotype" w:eastAsia="Palatino Linotype" w:hAnsi="Palatino Linotype" w:cs="Palatino Linotype"/>
          <w:b/>
          <w:sz w:val="18"/>
          <w:szCs w:val="18"/>
        </w:rPr>
      </w:pPr>
      <w:r w:rsidRPr="006C6C07">
        <w:rPr>
          <w:rFonts w:ascii="Palatino Linotype" w:eastAsia="Palatino Linotype" w:hAnsi="Palatino Linotype" w:cs="Palatino Linotype"/>
          <w:b/>
          <w:sz w:val="18"/>
          <w:szCs w:val="18"/>
        </w:rPr>
        <w:t>Source: NSE and BSE</w:t>
      </w:r>
    </w:p>
    <w:p w:rsidR="00BB43D3" w:rsidRPr="00C21F81" w:rsidRDefault="00BB43D3" w:rsidP="00BB43D3">
      <w:pPr>
        <w:tabs>
          <w:tab w:val="left" w:pos="3135"/>
        </w:tabs>
        <w:spacing w:line="276" w:lineRule="auto"/>
        <w:rPr>
          <w:rFonts w:ascii="Palatino Linotype" w:eastAsia="Palatino Linotype" w:hAnsi="Palatino Linotype" w:cs="Palatino Linotype"/>
          <w:b/>
          <w:color w:val="2E74B5"/>
          <w:sz w:val="22"/>
          <w:szCs w:val="22"/>
        </w:rPr>
      </w:pPr>
    </w:p>
    <w:p w:rsidR="00BB43D3" w:rsidRPr="006C6C07" w:rsidRDefault="00BB43D3" w:rsidP="00BB43D3">
      <w:pPr>
        <w:tabs>
          <w:tab w:val="left" w:pos="3135"/>
        </w:tabs>
        <w:spacing w:line="276" w:lineRule="auto"/>
        <w:rPr>
          <w:rFonts w:ascii="Palatino Linotype" w:eastAsia="Palatino Linotype" w:hAnsi="Palatino Linotype" w:cs="Palatino Linotype"/>
          <w:b/>
          <w:sz w:val="22"/>
          <w:szCs w:val="22"/>
          <w:u w:val="single"/>
        </w:rPr>
      </w:pPr>
      <w:r w:rsidRPr="006C6C07">
        <w:rPr>
          <w:rFonts w:ascii="Palatino Linotype" w:eastAsia="Palatino Linotype" w:hAnsi="Palatino Linotype" w:cs="Palatino Linotype"/>
          <w:b/>
          <w:sz w:val="22"/>
          <w:szCs w:val="22"/>
          <w:u w:val="single"/>
        </w:rPr>
        <w:t xml:space="preserve">BSE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November 2020, turnover of the equity derivatives segment at BSE increased by 29.1 per cent to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43,78,494.5 crore compared to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33,92,512.3 crore in October 2020.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6C6C07">
        <w:rPr>
          <w:rFonts w:ascii="Palatino Linotype" w:eastAsia="Palatino Linotype" w:hAnsi="Palatino Linotype" w:cs="Palatino Linotype"/>
          <w:sz w:val="22"/>
          <w:szCs w:val="22"/>
        </w:rPr>
        <w:t>As at</w:t>
      </w:r>
      <w:r w:rsidRPr="006C6C07">
        <w:rPr>
          <w:rFonts w:ascii="Palatino Linotype" w:eastAsia="Tahoma" w:hAnsi="Palatino Linotype"/>
          <w:sz w:val="22"/>
          <w:szCs w:val="22"/>
        </w:rPr>
        <w:t xml:space="preserve"> the end of November 2020, the open interest at BSE stood at </w:t>
      </w:r>
      <w:r w:rsidRPr="006C6C07">
        <w:rPr>
          <w:rFonts w:ascii="Tahoma" w:eastAsia="Tahoma" w:hAnsi="Tahoma" w:cs="Tahoma"/>
          <w:sz w:val="22"/>
          <w:szCs w:val="22"/>
        </w:rPr>
        <w:t>₹</w:t>
      </w:r>
      <w:r w:rsidRPr="006C6C07">
        <w:rPr>
          <w:rFonts w:ascii="Palatino Linotype" w:eastAsia="Tahoma" w:hAnsi="Palatino Linotype"/>
          <w:sz w:val="22"/>
          <w:szCs w:val="22"/>
        </w:rPr>
        <w:t xml:space="preserve">1,393.8 crore compared to </w:t>
      </w:r>
      <w:r w:rsidRPr="006C6C07">
        <w:rPr>
          <w:rFonts w:ascii="Tahoma" w:eastAsia="Tahoma" w:hAnsi="Tahoma" w:cs="Tahoma"/>
          <w:sz w:val="22"/>
          <w:szCs w:val="22"/>
        </w:rPr>
        <w:t>₹</w:t>
      </w:r>
      <w:r w:rsidRPr="006C6C07">
        <w:rPr>
          <w:rFonts w:ascii="Palatino Linotype" w:eastAsia="Tahoma" w:hAnsi="Palatino Linotype"/>
          <w:sz w:val="22"/>
          <w:szCs w:val="22"/>
        </w:rPr>
        <w:t>351.4 crore as at the end of October 2020, registering an increase of 296.6 per cent.</w:t>
      </w:r>
    </w:p>
    <w:p w:rsidR="00BB43D3" w:rsidRPr="00C21F81" w:rsidRDefault="00BB43D3" w:rsidP="00BB43D3">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rPr>
      </w:pPr>
    </w:p>
    <w:p w:rsidR="00BB43D3" w:rsidRPr="006C6C07" w:rsidRDefault="00BB43D3" w:rsidP="00BB43D3">
      <w:pPr>
        <w:tabs>
          <w:tab w:val="left" w:pos="3135"/>
        </w:tabs>
        <w:spacing w:line="276" w:lineRule="auto"/>
        <w:rPr>
          <w:rFonts w:ascii="Palatino Linotype" w:eastAsia="Palatino Linotype" w:hAnsi="Palatino Linotype" w:cs="Palatino Linotype"/>
          <w:b/>
          <w:sz w:val="22"/>
          <w:szCs w:val="22"/>
          <w:u w:val="single"/>
        </w:rPr>
      </w:pPr>
      <w:r w:rsidRPr="006C6C07">
        <w:rPr>
          <w:rFonts w:ascii="Palatino Linotype" w:eastAsia="Palatino Linotype" w:hAnsi="Palatino Linotype" w:cs="Palatino Linotype"/>
          <w:b/>
          <w:sz w:val="22"/>
          <w:szCs w:val="22"/>
          <w:u w:val="single"/>
        </w:rPr>
        <w:t xml:space="preserve">NSE </w:t>
      </w:r>
    </w:p>
    <w:p w:rsidR="00BB43D3" w:rsidRPr="005925AE" w:rsidRDefault="00BB43D3" w:rsidP="00BB43D3">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5925AE">
        <w:rPr>
          <w:rFonts w:ascii="Palatino Linotype" w:eastAsia="Palatino Linotype" w:hAnsi="Palatino Linotype" w:cs="Palatino Linotype"/>
          <w:sz w:val="22"/>
          <w:szCs w:val="22"/>
        </w:rPr>
        <w:t>The monthly turnover</w:t>
      </w:r>
      <w:r w:rsidRPr="009A0E23">
        <w:rPr>
          <w:rStyle w:val="FootnoteReference"/>
          <w:rFonts w:ascii="Palatino Linotype" w:eastAsia="Palatino Linotype" w:hAnsi="Palatino Linotype" w:cs="Palatino Linotype"/>
          <w:sz w:val="22"/>
          <w:szCs w:val="22"/>
        </w:rPr>
        <w:footnoteReference w:id="1"/>
      </w:r>
      <w:r w:rsidRPr="009A0E23">
        <w:rPr>
          <w:rFonts w:ascii="Palatino Linotype" w:eastAsia="Palatino Linotype" w:hAnsi="Palatino Linotype" w:cs="Palatino Linotype"/>
          <w:sz w:val="22"/>
          <w:szCs w:val="22"/>
        </w:rPr>
        <w:t xml:space="preserve"> in the</w:t>
      </w:r>
      <w:r w:rsidRPr="005925AE">
        <w:rPr>
          <w:rFonts w:ascii="Palatino Linotype" w:eastAsia="Palatino Linotype" w:hAnsi="Palatino Linotype" w:cs="Palatino Linotype"/>
          <w:sz w:val="22"/>
          <w:szCs w:val="22"/>
        </w:rPr>
        <w:t xml:space="preserve"> equity derivatives segment at NSE increased by 2.9 per cent to </w:t>
      </w:r>
      <w:r w:rsidRPr="005925AE">
        <w:rPr>
          <w:rFonts w:ascii="Tahoma" w:eastAsia="Palatino Linotype" w:hAnsi="Tahoma" w:cs="Tahoma"/>
          <w:sz w:val="22"/>
          <w:szCs w:val="22"/>
        </w:rPr>
        <w:t>₹</w:t>
      </w:r>
      <w:r w:rsidRPr="005925AE">
        <w:rPr>
          <w:rFonts w:ascii="Palatino Linotype" w:eastAsia="Palatino Linotype" w:hAnsi="Palatino Linotype" w:cs="Palatino Linotype"/>
          <w:sz w:val="22"/>
          <w:szCs w:val="22"/>
        </w:rPr>
        <w:t xml:space="preserve">568.9 lakh crore in November 2020 from </w:t>
      </w:r>
      <w:r w:rsidRPr="005925AE">
        <w:rPr>
          <w:rFonts w:ascii="Tahoma" w:eastAsia="Palatino Linotype" w:hAnsi="Tahoma" w:cs="Tahoma"/>
          <w:sz w:val="22"/>
          <w:szCs w:val="22"/>
        </w:rPr>
        <w:t>₹</w:t>
      </w:r>
      <w:r w:rsidRPr="005925AE">
        <w:rPr>
          <w:rFonts w:ascii="Palatino Linotype" w:eastAsia="Palatino Linotype" w:hAnsi="Palatino Linotype" w:cs="Palatino Linotype"/>
          <w:sz w:val="22"/>
          <w:szCs w:val="22"/>
        </w:rPr>
        <w:t xml:space="preserve">552.8 lakh crore in October 2020. </w:t>
      </w:r>
    </w:p>
    <w:p w:rsidR="00BB43D3" w:rsidRPr="005925AE" w:rsidRDefault="00BB43D3" w:rsidP="00BB43D3">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5925AE">
        <w:rPr>
          <w:rFonts w:ascii="Palatino Linotype" w:eastAsia="Palatino Linotype" w:hAnsi="Palatino Linotype" w:cs="Palatino Linotype"/>
          <w:sz w:val="22"/>
          <w:szCs w:val="22"/>
        </w:rPr>
        <w:t xml:space="preserve">During the above period, (i) the notional turnover of index options increased by 2.5 per cent to </w:t>
      </w:r>
      <w:r w:rsidRPr="005925AE">
        <w:rPr>
          <w:rFonts w:ascii="Tahoma" w:eastAsia="Palatino Linotype" w:hAnsi="Tahoma" w:cs="Tahoma"/>
          <w:sz w:val="22"/>
          <w:szCs w:val="22"/>
        </w:rPr>
        <w:t>₹</w:t>
      </w:r>
      <w:r w:rsidRPr="005925AE">
        <w:rPr>
          <w:rFonts w:ascii="Palatino Linotype" w:eastAsia="Palatino Linotype" w:hAnsi="Palatino Linotype" w:cs="Palatino Linotype"/>
          <w:sz w:val="22"/>
          <w:szCs w:val="22"/>
        </w:rPr>
        <w:t xml:space="preserve">522.0 lakh crore from </w:t>
      </w:r>
      <w:r w:rsidRPr="005925AE">
        <w:rPr>
          <w:rFonts w:ascii="Tahoma" w:eastAsia="Palatino Linotype" w:hAnsi="Tahoma" w:cs="Tahoma"/>
          <w:sz w:val="22"/>
          <w:szCs w:val="22"/>
        </w:rPr>
        <w:t>₹</w:t>
      </w:r>
      <w:r w:rsidRPr="005925AE">
        <w:rPr>
          <w:rFonts w:ascii="Palatino Linotype" w:eastAsia="Palatino Linotype" w:hAnsi="Palatino Linotype" w:cs="Palatino Linotype"/>
          <w:sz w:val="22"/>
          <w:szCs w:val="22"/>
        </w:rPr>
        <w:t xml:space="preserve">509.0 lakh crore, and accounted for 91.8 per cent of the total equity </w:t>
      </w:r>
      <w:r w:rsidRPr="005925AE">
        <w:rPr>
          <w:rFonts w:ascii="Palatino Linotype" w:eastAsia="Tahoma" w:hAnsi="Palatino Linotype"/>
          <w:sz w:val="22"/>
          <w:szCs w:val="22"/>
        </w:rPr>
        <w:t xml:space="preserve">derivatives turnover of NSE; (ii) the notional turnover of stock options increased by 6.0 per cent to </w:t>
      </w:r>
      <w:r w:rsidRPr="005925AE">
        <w:rPr>
          <w:rFonts w:ascii="Tahoma" w:eastAsia="Tahoma" w:hAnsi="Tahoma" w:cs="Tahoma"/>
          <w:sz w:val="22"/>
          <w:szCs w:val="22"/>
        </w:rPr>
        <w:t>₹</w:t>
      </w:r>
      <w:r w:rsidRPr="005925AE">
        <w:rPr>
          <w:rFonts w:ascii="Palatino Linotype" w:eastAsia="Tahoma" w:hAnsi="Palatino Linotype"/>
          <w:sz w:val="22"/>
          <w:szCs w:val="22"/>
        </w:rPr>
        <w:t xml:space="preserve">23.2 lakh crore from </w:t>
      </w:r>
      <w:r w:rsidRPr="005925AE">
        <w:rPr>
          <w:rFonts w:ascii="Tahoma" w:eastAsia="Tahoma" w:hAnsi="Tahoma" w:cs="Tahoma"/>
          <w:sz w:val="22"/>
          <w:szCs w:val="22"/>
        </w:rPr>
        <w:t>₹</w:t>
      </w:r>
      <w:r w:rsidRPr="005925AE">
        <w:rPr>
          <w:rFonts w:ascii="Palatino Linotype" w:eastAsia="Tahoma" w:hAnsi="Palatino Linotype"/>
          <w:sz w:val="22"/>
          <w:szCs w:val="22"/>
        </w:rPr>
        <w:t xml:space="preserve">21.9 lakh crore; (iii) the turnover of index futures increased by 11.8 per cent to </w:t>
      </w:r>
      <w:r w:rsidRPr="005925AE">
        <w:rPr>
          <w:rFonts w:ascii="Tahoma" w:eastAsia="Tahoma" w:hAnsi="Tahoma" w:cs="Tahoma"/>
          <w:sz w:val="22"/>
          <w:szCs w:val="22"/>
        </w:rPr>
        <w:t>₹</w:t>
      </w:r>
      <w:r w:rsidRPr="005925AE">
        <w:rPr>
          <w:rFonts w:ascii="Palatino Linotype" w:eastAsia="Tahoma" w:hAnsi="Palatino Linotype"/>
          <w:sz w:val="22"/>
          <w:szCs w:val="22"/>
        </w:rPr>
        <w:t xml:space="preserve">8.3 lakh crore from </w:t>
      </w:r>
      <w:r w:rsidRPr="005925AE">
        <w:rPr>
          <w:rFonts w:ascii="Tahoma" w:eastAsia="Tahoma" w:hAnsi="Tahoma" w:cs="Tahoma"/>
          <w:sz w:val="22"/>
          <w:szCs w:val="22"/>
        </w:rPr>
        <w:t>₹</w:t>
      </w:r>
      <w:r w:rsidRPr="005925AE">
        <w:rPr>
          <w:rFonts w:ascii="Palatino Linotype" w:eastAsia="Tahoma" w:hAnsi="Palatino Linotype"/>
          <w:sz w:val="22"/>
          <w:szCs w:val="22"/>
        </w:rPr>
        <w:t xml:space="preserve">7.4 lakh crore; and (iv) the turnover of stock futures increased by 6.7 per cent to </w:t>
      </w:r>
      <w:r w:rsidRPr="005925AE">
        <w:rPr>
          <w:rFonts w:ascii="Tahoma" w:eastAsia="Tahoma" w:hAnsi="Tahoma" w:cs="Tahoma"/>
          <w:sz w:val="22"/>
          <w:szCs w:val="22"/>
        </w:rPr>
        <w:t>₹</w:t>
      </w:r>
      <w:r w:rsidRPr="005925AE">
        <w:rPr>
          <w:rFonts w:ascii="Palatino Linotype" w:eastAsia="Tahoma" w:hAnsi="Palatino Linotype"/>
          <w:sz w:val="22"/>
          <w:szCs w:val="22"/>
        </w:rPr>
        <w:t xml:space="preserve">15.4 lakh crore from </w:t>
      </w:r>
      <w:r w:rsidRPr="005925AE">
        <w:rPr>
          <w:rFonts w:ascii="Tahoma" w:eastAsia="Tahoma" w:hAnsi="Tahoma" w:cs="Tahoma"/>
          <w:sz w:val="22"/>
          <w:szCs w:val="22"/>
        </w:rPr>
        <w:t>₹</w:t>
      </w:r>
      <w:r w:rsidRPr="005925AE">
        <w:rPr>
          <w:rFonts w:ascii="Palatino Linotype" w:eastAsia="Tahoma" w:hAnsi="Palatino Linotype"/>
          <w:sz w:val="22"/>
          <w:szCs w:val="22"/>
        </w:rPr>
        <w:t xml:space="preserve">14.5 lakh crore.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6C6C07">
        <w:rPr>
          <w:rFonts w:ascii="Palatino Linotype" w:eastAsia="Tahoma" w:hAnsi="Palatino Linotype"/>
          <w:sz w:val="22"/>
          <w:szCs w:val="22"/>
        </w:rPr>
        <w:t xml:space="preserve">As at end of November 2020, the </w:t>
      </w:r>
      <w:r w:rsidRPr="005925AE">
        <w:rPr>
          <w:rFonts w:ascii="Palatino Linotype" w:eastAsia="Tahoma" w:hAnsi="Palatino Linotype"/>
          <w:sz w:val="22"/>
          <w:szCs w:val="22"/>
        </w:rPr>
        <w:t xml:space="preserve">open interest </w:t>
      </w:r>
      <w:r w:rsidRPr="006C6C07">
        <w:rPr>
          <w:rFonts w:ascii="Palatino Linotype" w:eastAsia="Tahoma" w:hAnsi="Palatino Linotype"/>
          <w:sz w:val="22"/>
          <w:szCs w:val="22"/>
        </w:rPr>
        <w:t xml:space="preserve">value in equity derivatives stood at </w:t>
      </w:r>
      <w:r w:rsidRPr="006C6C07">
        <w:rPr>
          <w:rFonts w:ascii="Tahoma" w:eastAsia="Tahoma" w:hAnsi="Tahoma" w:cs="Tahoma"/>
          <w:sz w:val="22"/>
          <w:szCs w:val="22"/>
        </w:rPr>
        <w:t>₹</w:t>
      </w:r>
      <w:r w:rsidRPr="006C6C07">
        <w:rPr>
          <w:rFonts w:ascii="Palatino Linotype" w:eastAsia="Tahoma" w:hAnsi="Palatino Linotype"/>
          <w:sz w:val="22"/>
          <w:szCs w:val="22"/>
        </w:rPr>
        <w:t xml:space="preserve">3,84,434.0 crore, which is an increase of 25.2 per cent from October 2020.  The open interest value </w:t>
      </w:r>
      <w:r>
        <w:rPr>
          <w:rFonts w:ascii="Palatino Linotype" w:eastAsia="Tahoma" w:hAnsi="Palatino Linotype"/>
          <w:sz w:val="22"/>
          <w:szCs w:val="22"/>
        </w:rPr>
        <w:t>at the end of</w:t>
      </w:r>
      <w:r w:rsidRPr="006C6C07">
        <w:rPr>
          <w:rFonts w:ascii="Palatino Linotype" w:eastAsia="Tahoma" w:hAnsi="Palatino Linotype"/>
          <w:sz w:val="22"/>
          <w:szCs w:val="22"/>
        </w:rPr>
        <w:t xml:space="preserve"> </w:t>
      </w:r>
      <w:r w:rsidRPr="006C6C07">
        <w:rPr>
          <w:rFonts w:ascii="Palatino Linotype" w:eastAsia="Palatino Linotype" w:hAnsi="Palatino Linotype" w:cs="Palatino Linotype"/>
          <w:sz w:val="22"/>
          <w:szCs w:val="22"/>
        </w:rPr>
        <w:t>October</w:t>
      </w:r>
      <w:r w:rsidRPr="006C6C07">
        <w:rPr>
          <w:rFonts w:ascii="Palatino Linotype" w:eastAsia="Tahoma" w:hAnsi="Palatino Linotype"/>
          <w:sz w:val="22"/>
          <w:szCs w:val="22"/>
        </w:rPr>
        <w:t xml:space="preserve"> 2020 was </w:t>
      </w:r>
      <w:r w:rsidRPr="006C6C07">
        <w:rPr>
          <w:rFonts w:ascii="Tahoma" w:eastAsia="Tahoma" w:hAnsi="Tahoma" w:cs="Tahoma"/>
          <w:sz w:val="22"/>
          <w:szCs w:val="22"/>
        </w:rPr>
        <w:t>₹</w:t>
      </w:r>
      <w:r w:rsidRPr="006C6C07">
        <w:rPr>
          <w:rFonts w:ascii="Palatino Linotype" w:eastAsia="Tahoma" w:hAnsi="Palatino Linotype"/>
          <w:sz w:val="22"/>
          <w:szCs w:val="22"/>
        </w:rPr>
        <w:t>3,06,998.0 crore.</w:t>
      </w:r>
    </w:p>
    <w:p w:rsidR="00BB43D3" w:rsidRPr="006C6C07" w:rsidRDefault="00BB43D3" w:rsidP="00BB43D3">
      <w:pPr>
        <w:pBdr>
          <w:top w:val="nil"/>
          <w:left w:val="nil"/>
          <w:bottom w:val="nil"/>
          <w:right w:val="nil"/>
          <w:between w:val="nil"/>
        </w:pBdr>
        <w:jc w:val="center"/>
        <w:rPr>
          <w:rFonts w:ascii="Palatino Linotype" w:eastAsia="Palatino Linotype" w:hAnsi="Palatino Linotype" w:cs="Palatino Linotype"/>
          <w:b/>
          <w:sz w:val="22"/>
          <w:szCs w:val="22"/>
        </w:rPr>
      </w:pPr>
    </w:p>
    <w:p w:rsidR="00BB43D3" w:rsidRPr="006C6C07" w:rsidRDefault="00BB43D3" w:rsidP="00BB43D3">
      <w:pPr>
        <w:pBdr>
          <w:top w:val="nil"/>
          <w:left w:val="nil"/>
          <w:bottom w:val="nil"/>
          <w:right w:val="nil"/>
          <w:between w:val="nil"/>
        </w:pBdr>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 xml:space="preserve">Figure 6: Trends of Equity Derivatives Segment at NSE </w:t>
      </w:r>
    </w:p>
    <w:p w:rsidR="00BB43D3" w:rsidRPr="00C21F81" w:rsidRDefault="00BB43D3" w:rsidP="00BB43D3">
      <w:pPr>
        <w:pBdr>
          <w:top w:val="nil"/>
          <w:left w:val="nil"/>
          <w:bottom w:val="nil"/>
          <w:right w:val="nil"/>
          <w:between w:val="nil"/>
        </w:pBdr>
        <w:jc w:val="center"/>
        <w:rPr>
          <w:rFonts w:ascii="Palatino Linotype" w:eastAsia="Palatino Linotype" w:hAnsi="Palatino Linotype" w:cs="Palatino Linotype"/>
          <w:b/>
          <w:color w:val="2E74B5"/>
          <w:sz w:val="22"/>
          <w:szCs w:val="22"/>
        </w:rPr>
      </w:pPr>
      <w:r w:rsidRPr="00C21F81">
        <w:rPr>
          <w:rFonts w:ascii="Palatino Linotype" w:hAnsi="Palatino Linotype"/>
          <w:noProof/>
          <w:lang w:val="en-IN" w:eastAsia="en-IN" w:bidi="hi-IN"/>
        </w:rPr>
        <w:drawing>
          <wp:inline distT="0" distB="0" distL="0" distR="0">
            <wp:extent cx="5446395" cy="2427605"/>
            <wp:effectExtent l="0" t="0" r="1905" b="10795"/>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B43D3" w:rsidRPr="00C21F81" w:rsidRDefault="00BB43D3" w:rsidP="00BB43D3">
      <w:pPr>
        <w:pBdr>
          <w:top w:val="nil"/>
          <w:left w:val="nil"/>
          <w:bottom w:val="nil"/>
          <w:right w:val="nil"/>
          <w:between w:val="nil"/>
        </w:pBdr>
        <w:jc w:val="center"/>
        <w:rPr>
          <w:rFonts w:ascii="Palatino Linotype" w:eastAsia="Palatino Linotype" w:hAnsi="Palatino Linotype" w:cs="Palatino Linotype"/>
          <w:b/>
          <w:color w:val="2E74B5"/>
          <w:sz w:val="22"/>
          <w:szCs w:val="22"/>
        </w:rPr>
      </w:pPr>
    </w:p>
    <w:p w:rsidR="00BB43D3" w:rsidRPr="006C0805"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3176D6">
        <w:rPr>
          <w:rFonts w:ascii="Palatino Linotype" w:eastAsia="Palatino Linotype" w:hAnsi="Palatino Linotype" w:cs="Palatino Linotype"/>
          <w:sz w:val="22"/>
          <w:szCs w:val="22"/>
        </w:rPr>
        <w:t xml:space="preserve">During </w:t>
      </w:r>
      <w:r w:rsidRPr="003176D6">
        <w:rPr>
          <w:rFonts w:ascii="Palatino Linotype" w:eastAsia="Tahoma" w:hAnsi="Palatino Linotype"/>
          <w:sz w:val="22"/>
          <w:szCs w:val="22"/>
        </w:rPr>
        <w:t>November</w:t>
      </w:r>
      <w:r w:rsidRPr="003176D6">
        <w:rPr>
          <w:rFonts w:ascii="Palatino Linotype" w:eastAsia="Palatino Linotype" w:hAnsi="Palatino Linotype" w:cs="Palatino Linotype"/>
          <w:sz w:val="22"/>
          <w:szCs w:val="22"/>
        </w:rPr>
        <w:t xml:space="preserve"> 2020, the percentage share of weekly options to the total index options’ notional turnover stood at 67.0 per cent compared to 73.1 per cent in October 2020. The percentage share of monthly options to total index options’ notional turnover increased from 26.3 per cent in </w:t>
      </w:r>
      <w:r w:rsidRPr="003176D6">
        <w:rPr>
          <w:rFonts w:ascii="Palatino Linotype" w:eastAsia="Tahoma" w:hAnsi="Palatino Linotype"/>
          <w:sz w:val="22"/>
          <w:szCs w:val="22"/>
        </w:rPr>
        <w:t>October</w:t>
      </w:r>
      <w:r w:rsidRPr="003176D6">
        <w:rPr>
          <w:rFonts w:ascii="Palatino Linotype" w:eastAsia="Palatino Linotype" w:hAnsi="Palatino Linotype" w:cs="Palatino Linotype"/>
          <w:sz w:val="22"/>
          <w:szCs w:val="22"/>
        </w:rPr>
        <w:t xml:space="preserve"> 2020 to 32.3 per cent in November 2020.  </w:t>
      </w:r>
    </w:p>
    <w:p w:rsidR="00BB43D3" w:rsidRPr="003176D6" w:rsidRDefault="00BB43D3" w:rsidP="00BB43D3">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rPr>
      </w:pPr>
    </w:p>
    <w:p w:rsidR="00BB43D3" w:rsidRPr="006C6C07" w:rsidRDefault="00BB43D3" w:rsidP="00BB43D3">
      <w:pPr>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Figure 7: Maturity-wise percentage Share of Total Index Options Turnover at NSE (per cent)</w:t>
      </w:r>
    </w:p>
    <w:p w:rsidR="00BB43D3" w:rsidRPr="006C6C07" w:rsidRDefault="00BB43D3" w:rsidP="00BB43D3">
      <w:pPr>
        <w:spacing w:line="276" w:lineRule="auto"/>
        <w:jc w:val="center"/>
        <w:rPr>
          <w:rFonts w:ascii="Palatino Linotype" w:eastAsia="Palatino Linotype" w:hAnsi="Palatino Linotype" w:cs="Palatino Linotype"/>
          <w:b/>
          <w:sz w:val="22"/>
          <w:szCs w:val="22"/>
          <w:highlight w:val="yellow"/>
        </w:rPr>
      </w:pPr>
      <w:r w:rsidRPr="00C21F81">
        <w:rPr>
          <w:rFonts w:ascii="Palatino Linotype" w:hAnsi="Palatino Linotype"/>
          <w:noProof/>
          <w:lang w:val="en-IN" w:eastAsia="en-IN" w:bidi="hi-IN"/>
        </w:rPr>
        <w:drawing>
          <wp:inline distT="0" distB="0" distL="0" distR="0">
            <wp:extent cx="5284470" cy="3343910"/>
            <wp:effectExtent l="0" t="0" r="11430" b="8890"/>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B43D3" w:rsidRPr="006C6C07" w:rsidRDefault="00BB43D3" w:rsidP="00BB43D3">
      <w:pPr>
        <w:rPr>
          <w:rFonts w:ascii="Palatino Linotype" w:eastAsia="Palatino Linotype" w:hAnsi="Palatino Linotype" w:cs="Palatino Linotype"/>
          <w:b/>
          <w:sz w:val="22"/>
          <w:szCs w:val="22"/>
        </w:rPr>
      </w:pPr>
    </w:p>
    <w:p w:rsidR="00BB43D3" w:rsidRPr="006C6C07" w:rsidRDefault="00BB43D3" w:rsidP="00BB43D3">
      <w:pPr>
        <w:widowControl w:val="0"/>
        <w:numPr>
          <w:ilvl w:val="0"/>
          <w:numId w:val="4"/>
        </w:numPr>
        <w:spacing w:line="276" w:lineRule="auto"/>
        <w:ind w:left="567" w:hanging="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br w:type="page"/>
      </w:r>
      <w:r w:rsidRPr="006C6C07">
        <w:rPr>
          <w:rFonts w:ascii="Palatino Linotype" w:eastAsia="Palatino Linotype" w:hAnsi="Palatino Linotype" w:cs="Palatino Linotype"/>
          <w:b/>
          <w:sz w:val="22"/>
          <w:szCs w:val="22"/>
        </w:rPr>
        <w:t>Currency Derivatives at NSE, BSE and MSEI</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November 2020, the monthly turnover of currency derivatives in India (NSE, BSE and MSEI together) stood at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14,38,703.6 crore as compared to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13,95,634.2 crore in October 2020, registering an increase of 3.1 per cent during the period under consideration.</w:t>
      </w:r>
    </w:p>
    <w:p w:rsidR="00BB43D3" w:rsidRPr="006C6C07" w:rsidRDefault="00BB43D3" w:rsidP="00BB43D3">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BB43D3" w:rsidRPr="006C6C07" w:rsidRDefault="00BB43D3" w:rsidP="00BB43D3">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Figure 8: Trends of Currency Derivatives at NSE, MSEI and BSE</w:t>
      </w:r>
    </w:p>
    <w:p w:rsidR="00BB43D3" w:rsidRPr="00C21F81" w:rsidRDefault="00BB43D3" w:rsidP="00BB43D3">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C21F81">
        <w:rPr>
          <w:rFonts w:ascii="Palatino Linotype" w:hAnsi="Palatino Linotype"/>
          <w:noProof/>
          <w:lang w:val="en-IN" w:eastAsia="en-IN" w:bidi="hi-IN"/>
        </w:rPr>
        <w:drawing>
          <wp:inline distT="0" distB="0" distL="0" distR="0">
            <wp:extent cx="5685155" cy="2938145"/>
            <wp:effectExtent l="0" t="0" r="10795" b="14605"/>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43D3" w:rsidRPr="006C6C07" w:rsidRDefault="00BB43D3" w:rsidP="00BB43D3">
      <w:pPr>
        <w:widowControl w:val="0"/>
        <w:spacing w:line="276" w:lineRule="auto"/>
        <w:ind w:left="720"/>
        <w:jc w:val="both"/>
        <w:rPr>
          <w:rFonts w:ascii="Palatino Linotype" w:eastAsia="Palatino Linotype" w:hAnsi="Palatino Linotype" w:cs="Palatino Linotype"/>
          <w:b/>
          <w:sz w:val="22"/>
          <w:szCs w:val="22"/>
          <w:highlight w:val="yellow"/>
        </w:rPr>
      </w:pPr>
    </w:p>
    <w:p w:rsidR="00BB43D3" w:rsidRPr="006C6C07" w:rsidRDefault="00BB43D3" w:rsidP="00BB43D3">
      <w:pPr>
        <w:widowControl w:val="0"/>
        <w:numPr>
          <w:ilvl w:val="0"/>
          <w:numId w:val="4"/>
        </w:numPr>
        <w:spacing w:line="276" w:lineRule="auto"/>
        <w:ind w:left="567" w:hanging="567"/>
        <w:jc w:val="both"/>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 xml:space="preserve">Interest Rate Derivatives at NSE and BSE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November 2020, the monthly turnover of interest rate derivatives at NSE decreased by 37.4 per cent to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3,735.2 crore from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5,969.4 crore during October 2020. NSE had no trading activity in the interest rate options segment during the month.</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The monthly turnover of interest rate futures at BSE increased by 68.5 per cent from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1,949.4 crore to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3,284.3 crore during the same period. </w:t>
      </w:r>
    </w:p>
    <w:p w:rsidR="00BB43D3" w:rsidRPr="00C21F81" w:rsidRDefault="00BB43D3" w:rsidP="00BB43D3">
      <w:pPr>
        <w:rPr>
          <w:rFonts w:ascii="Palatino Linotype" w:eastAsia="Palatino Linotype" w:hAnsi="Palatino Linotype" w:cs="Palatino Linotype"/>
          <w:b/>
          <w:color w:val="2E74B5"/>
          <w:sz w:val="22"/>
          <w:szCs w:val="22"/>
          <w:highlight w:val="yellow"/>
        </w:rPr>
      </w:pPr>
    </w:p>
    <w:p w:rsidR="00BB43D3" w:rsidRPr="006C6C07" w:rsidRDefault="00BB43D3" w:rsidP="00BB43D3">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Figure 9: Trends of Interest Rate Futures at NSE and BSE</w:t>
      </w:r>
    </w:p>
    <w:p w:rsidR="00BB43D3" w:rsidRPr="00C21F81" w:rsidRDefault="00BB43D3" w:rsidP="00BB43D3">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rPr>
      </w:pPr>
      <w:r w:rsidRPr="00C21F81">
        <w:rPr>
          <w:rFonts w:ascii="Palatino Linotype" w:hAnsi="Palatino Linotype"/>
          <w:noProof/>
          <w:lang w:val="en-IN" w:eastAsia="en-IN" w:bidi="hi-IN"/>
        </w:rPr>
        <w:drawing>
          <wp:inline distT="0" distB="0" distL="0" distR="0">
            <wp:extent cx="5704205" cy="2647315"/>
            <wp:effectExtent l="0" t="0" r="10795" b="635"/>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B43D3" w:rsidRPr="006C6C07" w:rsidRDefault="00BB43D3" w:rsidP="00BB43D3">
      <w:pPr>
        <w:rPr>
          <w:rFonts w:ascii="Palatino Linotype" w:eastAsia="Palatino Linotype" w:hAnsi="Palatino Linotype" w:cs="Palatino Linotype"/>
          <w:b/>
          <w:sz w:val="22"/>
          <w:szCs w:val="22"/>
        </w:rPr>
      </w:pPr>
    </w:p>
    <w:p w:rsidR="00BB43D3" w:rsidRPr="006C6C07" w:rsidRDefault="00BB43D3" w:rsidP="00BB43D3">
      <w:pPr>
        <w:widowControl w:val="0"/>
        <w:numPr>
          <w:ilvl w:val="0"/>
          <w:numId w:val="2"/>
        </w:numPr>
        <w:spacing w:line="276" w:lineRule="auto"/>
        <w:ind w:left="567" w:hanging="567"/>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br w:type="page"/>
      </w:r>
      <w:r w:rsidRPr="006C6C07">
        <w:rPr>
          <w:rFonts w:ascii="Palatino Linotype" w:eastAsia="Palatino Linotype" w:hAnsi="Palatino Linotype" w:cs="Palatino Linotype"/>
          <w:b/>
          <w:sz w:val="22"/>
          <w:szCs w:val="22"/>
        </w:rPr>
        <w:t>Trading in Corporate Debt Market</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November 2020, BSE registered 4,913 trades of corporate debt with traded value of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35,255.3 crore, as compared to 5,019 trades of corporate debt with a traded value of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42,448.4 crore in the previous month.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At NSE, 4,860 trades were recorded with a traded value of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79,665.3 crore in November 2020 as compared to 5,332 trades with a traded value of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88,404.0 crore in October 2020. </w:t>
      </w:r>
    </w:p>
    <w:p w:rsidR="00BB43D3" w:rsidRPr="00C21F81" w:rsidRDefault="00BB43D3" w:rsidP="00BB43D3">
      <w:pPr>
        <w:pBdr>
          <w:top w:val="nil"/>
          <w:left w:val="nil"/>
          <w:bottom w:val="nil"/>
          <w:right w:val="nil"/>
          <w:between w:val="nil"/>
        </w:pBdr>
        <w:spacing w:line="276" w:lineRule="auto"/>
        <w:ind w:left="720" w:hanging="720"/>
        <w:rPr>
          <w:rFonts w:ascii="Palatino Linotype" w:eastAsia="Palatino Linotype" w:hAnsi="Palatino Linotype" w:cs="Palatino Linotype"/>
          <w:b/>
          <w:color w:val="2E74B5"/>
          <w:sz w:val="22"/>
          <w:szCs w:val="22"/>
        </w:rPr>
      </w:pPr>
    </w:p>
    <w:p w:rsidR="00BB43D3" w:rsidRPr="006C6C07"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Figure 10: Trends in Reported Turnover of Corporate Bonds</w:t>
      </w:r>
    </w:p>
    <w:p w:rsidR="00BB43D3" w:rsidRPr="00C21F81"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C21F81">
        <w:rPr>
          <w:rFonts w:ascii="Palatino Linotype" w:hAnsi="Palatino Linotype"/>
          <w:noProof/>
          <w:lang w:val="en-IN" w:eastAsia="en-IN" w:bidi="hi-IN"/>
        </w:rPr>
        <w:drawing>
          <wp:inline distT="0" distB="0" distL="0" distR="0">
            <wp:extent cx="6036945" cy="2566035"/>
            <wp:effectExtent l="0" t="0" r="1905" b="5715"/>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B43D3" w:rsidRPr="00C21F81"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p>
    <w:p w:rsidR="00BB43D3" w:rsidRPr="00C21F81" w:rsidRDefault="00BB43D3" w:rsidP="00BB43D3">
      <w:pPr>
        <w:widowControl w:val="0"/>
        <w:spacing w:line="276" w:lineRule="auto"/>
        <w:ind w:left="720"/>
        <w:contextualSpacing/>
        <w:jc w:val="both"/>
        <w:rPr>
          <w:rFonts w:ascii="Palatino Linotype" w:hAnsi="Palatino Linotype"/>
          <w:b/>
          <w:color w:val="2E74B5"/>
          <w:sz w:val="22"/>
          <w:szCs w:val="22"/>
          <w:highlight w:val="yellow"/>
        </w:rPr>
      </w:pPr>
    </w:p>
    <w:p w:rsidR="00BB43D3" w:rsidRPr="006C6C07" w:rsidRDefault="00BB43D3" w:rsidP="00BB43D3">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Trends in Institutional Investments</w:t>
      </w:r>
    </w:p>
    <w:p w:rsidR="00BB43D3" w:rsidRPr="006C6C07" w:rsidRDefault="00BB43D3" w:rsidP="00BB43D3">
      <w:pPr>
        <w:widowControl w:val="0"/>
        <w:spacing w:line="276" w:lineRule="auto"/>
        <w:ind w:left="720"/>
        <w:jc w:val="both"/>
        <w:rPr>
          <w:rFonts w:ascii="Palatino Linotype" w:eastAsia="Palatino Linotype" w:hAnsi="Palatino Linotype" w:cs="Palatino Linotype"/>
          <w:b/>
          <w:sz w:val="22"/>
          <w:szCs w:val="22"/>
        </w:rPr>
      </w:pPr>
    </w:p>
    <w:p w:rsidR="00BB43D3" w:rsidRPr="006C6C07" w:rsidRDefault="00BB43D3" w:rsidP="00BB43D3">
      <w:pPr>
        <w:widowControl w:val="0"/>
        <w:numPr>
          <w:ilvl w:val="0"/>
          <w:numId w:val="9"/>
        </w:numPr>
        <w:tabs>
          <w:tab w:val="left" w:pos="0"/>
        </w:tabs>
        <w:spacing w:line="276" w:lineRule="auto"/>
        <w:ind w:left="567" w:hanging="567"/>
        <w:jc w:val="both"/>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Trends in Fund Mobilisation/Transactions by Mutual Funds</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Times New Roman" w:hAnsi="Palatino Linotype" w:cs="Tahoma"/>
          <w:sz w:val="20"/>
          <w:szCs w:val="20"/>
          <w:lang w:val="en-IN" w:eastAsia="en-IN"/>
        </w:rPr>
        <w:t> </w:t>
      </w:r>
      <w:r w:rsidRPr="006C6C07">
        <w:rPr>
          <w:rFonts w:ascii="Palatino Linotype" w:eastAsia="Times New Roman" w:hAnsi="Palatino Linotype" w:cs="Tahoma"/>
          <w:sz w:val="22"/>
          <w:szCs w:val="22"/>
          <w:lang w:eastAsia="en-IN"/>
        </w:rPr>
        <w:t xml:space="preserve">As at </w:t>
      </w:r>
      <w:r w:rsidRPr="006C6C07">
        <w:rPr>
          <w:rFonts w:ascii="Palatino Linotype" w:eastAsia="Palatino Linotype" w:hAnsi="Palatino Linotype" w:cs="Palatino Linotype"/>
          <w:sz w:val="22"/>
          <w:szCs w:val="22"/>
        </w:rPr>
        <w:t xml:space="preserve">end of November 2020, there were a total of 1,738 mutual fund schemes in the market, of which 995 were open-ended schemes, 720 were close-ended schemes and 23 were interval schemes.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The mutual fund industry saw a net inflow of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27,194.1 crore during November 2020, against the net inflow of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98,576.0 crore during October 2020.</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The funds mobilised by open-ended schemes during November 2020 was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5,66,378.9 crore against redemption/repurchase of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5,38,858.2 crore, resulting in a net inflow of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27,520.7 crore from open-ended schemes. Of the total funds mobilised by the open-ended schemes during the month under consideration,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5,34,421.5 crore was mobilised through income/debt oriented schemes,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14,195.8 crore through growth/equity oriented schemes,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6,729.7 crore through hybrid schemes,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206.7 crore through solution oriented schemes and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10,825.3 crore through other schemes.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November 2020, close-ended schemes worth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321.2 crore were matured/ repurchased</w:t>
      </w:r>
      <w:r w:rsidRPr="000B224D">
        <w:rPr>
          <w:rFonts w:ascii="Palatino Linotype" w:eastAsia="Palatino Linotype" w:hAnsi="Palatino Linotype" w:cs="Palatino Linotype"/>
          <w:sz w:val="22"/>
          <w:szCs w:val="22"/>
          <w:vertAlign w:val="superscript"/>
        </w:rPr>
        <w:footnoteReference w:id="2"/>
      </w:r>
      <w:r w:rsidRPr="006C6C07">
        <w:rPr>
          <w:rFonts w:ascii="Palatino Linotype" w:eastAsia="Palatino Linotype" w:hAnsi="Palatino Linotype" w:cs="Palatino Linotype"/>
          <w:sz w:val="22"/>
          <w:szCs w:val="22"/>
        </w:rPr>
        <w:t xml:space="preserve">.  Also, interval schemes worth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5.4 crore were matured/redeemed during the period.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The net assets under management of mutual funds stood at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30.0 lakh crore as at the end of November 2020, up from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28.2 lakh crore as at the end of October 2020.</w:t>
      </w:r>
      <w:r>
        <w:rPr>
          <w:rFonts w:ascii="Palatino Linotype" w:eastAsia="Palatino Linotype" w:hAnsi="Palatino Linotype" w:cs="Palatino Linotype"/>
          <w:sz w:val="22"/>
          <w:szCs w:val="22"/>
        </w:rPr>
        <w:t xml:space="preserve">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In the secondary market transactions, during November 2020, mutual funds liquidated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30,760.1 crore from equity schemes and deployed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20,349.4 crore in debt schemes. </w:t>
      </w:r>
    </w:p>
    <w:p w:rsidR="00BB43D3" w:rsidRPr="00C21F81" w:rsidRDefault="00BB43D3" w:rsidP="00BB43D3">
      <w:pPr>
        <w:pBdr>
          <w:top w:val="nil"/>
          <w:left w:val="nil"/>
          <w:bottom w:val="nil"/>
          <w:right w:val="nil"/>
          <w:between w:val="nil"/>
        </w:pBdr>
        <w:spacing w:line="276" w:lineRule="auto"/>
        <w:rPr>
          <w:rFonts w:ascii="Palatino Linotype" w:eastAsia="Palatino Linotype" w:hAnsi="Palatino Linotype" w:cs="Palatino Linotype"/>
          <w:b/>
          <w:color w:val="2E74B5"/>
          <w:sz w:val="22"/>
          <w:szCs w:val="22"/>
          <w:highlight w:val="yellow"/>
        </w:rPr>
      </w:pPr>
    </w:p>
    <w:p w:rsidR="00BB43D3"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6C6C07">
        <w:rPr>
          <w:rFonts w:ascii="Palatino Linotype" w:eastAsia="Palatino Linotype" w:hAnsi="Palatino Linotype" w:cs="Palatino Linotype"/>
          <w:b/>
          <w:sz w:val="22"/>
          <w:szCs w:val="22"/>
        </w:rPr>
        <w:t xml:space="preserve">Figure 11: Trends in Mutual Funds Transactions in Secondary Market </w:t>
      </w:r>
    </w:p>
    <w:p w:rsidR="00BB43D3"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8A7D4F">
        <w:rPr>
          <w:noProof/>
          <w:lang w:val="en-IN" w:eastAsia="en-IN" w:bidi="hi-IN"/>
        </w:rPr>
        <w:drawing>
          <wp:inline distT="0" distB="0" distL="0" distR="0">
            <wp:extent cx="6177915" cy="3361690"/>
            <wp:effectExtent l="0" t="0" r="13335" b="1016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B43D3" w:rsidRPr="006C6C07"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rsidR="00BB43D3" w:rsidRPr="003B4A65" w:rsidRDefault="00BB43D3" w:rsidP="00BB43D3">
      <w:pPr>
        <w:widowControl w:val="0"/>
        <w:numPr>
          <w:ilvl w:val="0"/>
          <w:numId w:val="9"/>
        </w:numPr>
        <w:tabs>
          <w:tab w:val="left" w:pos="0"/>
        </w:tabs>
        <w:spacing w:line="276" w:lineRule="auto"/>
        <w:ind w:left="567" w:hanging="567"/>
        <w:jc w:val="both"/>
        <w:rPr>
          <w:rFonts w:ascii="Palatino Linotype" w:eastAsia="Palatino Linotype" w:hAnsi="Palatino Linotype" w:cs="Palatino Linotype"/>
          <w:b/>
          <w:sz w:val="22"/>
          <w:szCs w:val="22"/>
        </w:rPr>
      </w:pPr>
      <w:r w:rsidRPr="003B4A65">
        <w:rPr>
          <w:rFonts w:ascii="Palatino Linotype" w:eastAsia="Palatino Linotype" w:hAnsi="Palatino Linotype" w:cs="Palatino Linotype"/>
          <w:b/>
          <w:sz w:val="22"/>
          <w:szCs w:val="22"/>
        </w:rPr>
        <w:t>Trends in Investments by the Foreign Portfolio Investors (FPIs)</w:t>
      </w:r>
    </w:p>
    <w:p w:rsidR="00BB43D3" w:rsidRPr="006C6C07" w:rsidRDefault="00BB43D3" w:rsidP="00BB43D3">
      <w:pPr>
        <w:widowControl w:val="0"/>
        <w:tabs>
          <w:tab w:val="left" w:pos="0"/>
        </w:tabs>
        <w:spacing w:line="276" w:lineRule="auto"/>
        <w:ind w:left="360"/>
        <w:jc w:val="both"/>
        <w:rPr>
          <w:rFonts w:ascii="Palatino Linotype" w:eastAsia="Palatino Linotype" w:hAnsi="Palatino Linotype" w:cs="Palatino Linotype"/>
          <w:b/>
          <w:sz w:val="22"/>
          <w:szCs w:val="22"/>
        </w:rPr>
      </w:pPr>
    </w:p>
    <w:p w:rsidR="00BB43D3" w:rsidRPr="006C6C07" w:rsidRDefault="00BB43D3" w:rsidP="00BB43D3">
      <w:pPr>
        <w:numPr>
          <w:ilvl w:val="0"/>
          <w:numId w:val="8"/>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November 2020, FPIs invested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60,357.7 crore in the equity segment, compared to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19,540.7 crore invested during October 2020. The net investment by FPIs in debt securities during November 2020 was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2,593.4 crore against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2,492.1 crore</w:t>
      </w:r>
      <w:r>
        <w:rPr>
          <w:rFonts w:ascii="Palatino Linotype" w:eastAsia="Palatino Linotype" w:hAnsi="Palatino Linotype" w:cs="Palatino Linotype"/>
          <w:sz w:val="22"/>
          <w:szCs w:val="22"/>
        </w:rPr>
        <w:t xml:space="preserve"> invested</w:t>
      </w:r>
      <w:r w:rsidRPr="006C6C07">
        <w:rPr>
          <w:rFonts w:ascii="Palatino Linotype" w:eastAsia="Palatino Linotype" w:hAnsi="Palatino Linotype" w:cs="Palatino Linotype"/>
          <w:sz w:val="22"/>
          <w:szCs w:val="22"/>
        </w:rPr>
        <w:t xml:space="preserve"> during October 2020. There was a withdrawal of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169.4 crore from hybrid securities during November 2020 against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206.7 crore withdrawal during the previous month. Thus, November 2020 witnessed a net investment of </w:t>
      </w:r>
      <w:r w:rsidRPr="003B4A65">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62,781.8 crore by the FPIs, against the net investment of </w:t>
      </w:r>
      <w:r w:rsidRPr="003B4A65">
        <w:rPr>
          <w:rFonts w:ascii="Tahoma" w:eastAsia="Palatino Linotype" w:hAnsi="Tahoma" w:cs="Tahoma"/>
          <w:sz w:val="22"/>
          <w:szCs w:val="22"/>
        </w:rPr>
        <w:t>₹</w:t>
      </w:r>
      <w:r w:rsidRPr="006C6C07">
        <w:rPr>
          <w:rFonts w:ascii="Palatino Linotype" w:eastAsia="Palatino Linotype" w:hAnsi="Palatino Linotype" w:cs="Palatino Linotype"/>
          <w:sz w:val="22"/>
          <w:szCs w:val="22"/>
        </w:rPr>
        <w:t>21,826.1 crore during October 2020.</w:t>
      </w:r>
    </w:p>
    <w:p w:rsidR="00BB43D3" w:rsidRPr="003B4A65" w:rsidRDefault="00BB43D3" w:rsidP="00BB43D3">
      <w:pPr>
        <w:numPr>
          <w:ilvl w:val="0"/>
          <w:numId w:val="8"/>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3B4A65">
        <w:rPr>
          <w:rFonts w:ascii="Palatino Linotype" w:eastAsia="Palatino Linotype" w:hAnsi="Palatino Linotype" w:cs="Palatino Linotype"/>
          <w:sz w:val="22"/>
          <w:szCs w:val="22"/>
        </w:rPr>
        <w:t>The asset</w:t>
      </w:r>
      <w:r>
        <w:rPr>
          <w:rFonts w:ascii="Palatino Linotype" w:eastAsia="Palatino Linotype" w:hAnsi="Palatino Linotype" w:cs="Palatino Linotype"/>
          <w:sz w:val="22"/>
          <w:szCs w:val="22"/>
        </w:rPr>
        <w:t>s</w:t>
      </w:r>
      <w:r w:rsidRPr="003B4A65">
        <w:rPr>
          <w:rFonts w:ascii="Palatino Linotype" w:eastAsia="Palatino Linotype" w:hAnsi="Palatino Linotype" w:cs="Palatino Linotype"/>
          <w:sz w:val="22"/>
          <w:szCs w:val="22"/>
        </w:rPr>
        <w:t xml:space="preserve"> of FPIs in India, as reported by custodians, as at the end of November 2020 was </w:t>
      </w:r>
      <w:r w:rsidRPr="003B4A65">
        <w:rPr>
          <w:rFonts w:ascii="Tahoma" w:eastAsia="Palatino Linotype" w:hAnsi="Tahoma" w:cs="Tahoma"/>
          <w:sz w:val="22"/>
          <w:szCs w:val="22"/>
        </w:rPr>
        <w:t>₹</w:t>
      </w:r>
      <w:r w:rsidRPr="003B4A65">
        <w:rPr>
          <w:rFonts w:ascii="Palatino Linotype" w:eastAsia="Palatino Linotype" w:hAnsi="Palatino Linotype" w:cs="Palatino Linotype"/>
          <w:sz w:val="22"/>
          <w:szCs w:val="22"/>
        </w:rPr>
        <w:t xml:space="preserve">38,50,843.0 crore, out of which the notional value of offshore derivative instruments (ODIs) (including ODIs on derivatives) was </w:t>
      </w:r>
      <w:r w:rsidRPr="003B4A65">
        <w:rPr>
          <w:rFonts w:ascii="Tahoma" w:eastAsia="Palatino Linotype" w:hAnsi="Tahoma" w:cs="Tahoma"/>
          <w:sz w:val="22"/>
          <w:szCs w:val="22"/>
        </w:rPr>
        <w:t>₹</w:t>
      </w:r>
      <w:r w:rsidRPr="003B4A65">
        <w:rPr>
          <w:rFonts w:ascii="Palatino Linotype" w:eastAsia="Palatino Linotype" w:hAnsi="Palatino Linotype" w:cs="Palatino Linotype"/>
          <w:sz w:val="22"/>
          <w:szCs w:val="22"/>
        </w:rPr>
        <w:t>83,114.0 crore which is 2.2 per cent of total assets of FPIs.</w:t>
      </w:r>
      <w:r>
        <w:rPr>
          <w:rFonts w:ascii="Palatino Linotype" w:eastAsia="Palatino Linotype" w:hAnsi="Palatino Linotype" w:cs="Palatino Linotype"/>
          <w:sz w:val="22"/>
          <w:szCs w:val="22"/>
        </w:rPr>
        <w:t xml:space="preserve"> </w:t>
      </w:r>
      <w:r w:rsidRPr="003B4A65">
        <w:rPr>
          <w:rFonts w:ascii="Palatino Linotype" w:eastAsia="Palatino Linotype" w:hAnsi="Palatino Linotype" w:cs="Palatino Linotype"/>
          <w:sz w:val="22"/>
          <w:szCs w:val="22"/>
        </w:rPr>
        <w:t xml:space="preserve"> </w:t>
      </w:r>
    </w:p>
    <w:p w:rsidR="00BB43D3" w:rsidRPr="006C6C07" w:rsidRDefault="00BB43D3" w:rsidP="00BB43D3">
      <w:pPr>
        <w:rPr>
          <w:rFonts w:ascii="Palatino Linotype" w:eastAsia="Palatino Linotype" w:hAnsi="Palatino Linotype" w:cs="Palatino Linotype"/>
          <w:b/>
          <w:sz w:val="22"/>
          <w:szCs w:val="22"/>
        </w:rPr>
      </w:pPr>
    </w:p>
    <w:p w:rsidR="00BB43D3" w:rsidRPr="006C6C07"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br w:type="page"/>
      </w:r>
      <w:r w:rsidRPr="006C6C07">
        <w:rPr>
          <w:rFonts w:ascii="Palatino Linotype" w:eastAsia="Palatino Linotype" w:hAnsi="Palatino Linotype" w:cs="Palatino Linotype"/>
          <w:b/>
          <w:sz w:val="22"/>
          <w:szCs w:val="22"/>
        </w:rPr>
        <w:t>Figure 12: Trends in FPIs’ Investments</w:t>
      </w:r>
    </w:p>
    <w:p w:rsidR="00BB43D3" w:rsidRPr="00C21F81" w:rsidRDefault="00BB43D3" w:rsidP="00BB43D3">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C21F81">
        <w:rPr>
          <w:rFonts w:ascii="Palatino Linotype" w:hAnsi="Palatino Linotype"/>
          <w:noProof/>
          <w:lang w:val="en-IN" w:eastAsia="en-IN" w:bidi="hi-IN"/>
        </w:rPr>
        <w:drawing>
          <wp:inline distT="0" distB="0" distL="0" distR="0">
            <wp:extent cx="6209030" cy="2966085"/>
            <wp:effectExtent l="0" t="0" r="1270" b="5715"/>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43D3" w:rsidRPr="00C21F81" w:rsidRDefault="00BB43D3" w:rsidP="00BB43D3">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BB43D3" w:rsidRPr="00C21F81" w:rsidRDefault="00BB43D3" w:rsidP="00BB43D3">
      <w:pPr>
        <w:pBdr>
          <w:top w:val="nil"/>
          <w:left w:val="nil"/>
          <w:bottom w:val="nil"/>
          <w:right w:val="nil"/>
          <w:between w:val="nil"/>
        </w:pBdr>
        <w:spacing w:line="276" w:lineRule="auto"/>
        <w:ind w:left="720" w:hanging="720"/>
        <w:rPr>
          <w:rFonts w:ascii="Palatino Linotype" w:eastAsia="Palatino Linotype" w:hAnsi="Palatino Linotype" w:cs="Palatino Linotype"/>
          <w:b/>
          <w:color w:val="222A35"/>
          <w:sz w:val="22"/>
          <w:szCs w:val="22"/>
          <w:highlight w:val="yellow"/>
        </w:rPr>
      </w:pPr>
      <w:bookmarkStart w:id="1" w:name="_30j0zll" w:colFirst="0" w:colLast="0"/>
      <w:bookmarkEnd w:id="1"/>
    </w:p>
    <w:p w:rsidR="00BB43D3" w:rsidRPr="00C21F81" w:rsidRDefault="00BB43D3" w:rsidP="00BB43D3">
      <w:pPr>
        <w:widowControl w:val="0"/>
        <w:numPr>
          <w:ilvl w:val="0"/>
          <w:numId w:val="2"/>
        </w:numPr>
        <w:spacing w:line="276" w:lineRule="auto"/>
        <w:ind w:left="567" w:hanging="567"/>
        <w:jc w:val="both"/>
        <w:rPr>
          <w:rFonts w:ascii="Palatino Linotype" w:eastAsia="Palatino Linotype" w:hAnsi="Palatino Linotype" w:cs="Palatino Linotype"/>
          <w:b/>
          <w:color w:val="222A35"/>
          <w:sz w:val="22"/>
          <w:szCs w:val="22"/>
        </w:rPr>
      </w:pPr>
      <w:r w:rsidRPr="00C21F81">
        <w:rPr>
          <w:rFonts w:ascii="Palatino Linotype" w:eastAsia="Palatino Linotype" w:hAnsi="Palatino Linotype" w:cs="Palatino Linotype"/>
          <w:b/>
          <w:color w:val="222A35"/>
          <w:sz w:val="22"/>
          <w:szCs w:val="22"/>
        </w:rPr>
        <w:t>Trends in Portfolio Management Services (PMS)</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As at end of </w:t>
      </w:r>
      <w:r w:rsidRPr="00021CE0">
        <w:rPr>
          <w:rFonts w:ascii="Palatino Linotype" w:eastAsia="Palatino Linotype" w:hAnsi="Palatino Linotype" w:cs="Palatino Linotype"/>
          <w:sz w:val="22"/>
          <w:szCs w:val="22"/>
        </w:rPr>
        <w:t>October 2020</w:t>
      </w:r>
      <w:r w:rsidRPr="006C6C07">
        <w:rPr>
          <w:rFonts w:ascii="Palatino Linotype" w:eastAsia="Palatino Linotype" w:hAnsi="Palatino Linotype" w:cs="Palatino Linotype"/>
          <w:sz w:val="22"/>
          <w:szCs w:val="22"/>
        </w:rPr>
        <w:t xml:space="preserve">, AUM of the portfolio management industry stood at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19.2 lakh crore. Of the total AUM, funds from EPFO/PFs account for </w:t>
      </w:r>
      <w:r w:rsidRPr="006C6C07">
        <w:rPr>
          <w:rFonts w:ascii="Tahoma" w:eastAsia="Palatino Linotype" w:hAnsi="Tahoma" w:cs="Tahoma"/>
          <w:sz w:val="22"/>
          <w:szCs w:val="22"/>
        </w:rPr>
        <w:t>₹</w:t>
      </w:r>
      <w:r w:rsidRPr="006C6C07">
        <w:rPr>
          <w:rFonts w:ascii="Palatino Linotype" w:eastAsia="Palatino Linotype" w:hAnsi="Palatino Linotype" w:cs="Palatino Linotype"/>
          <w:sz w:val="22"/>
          <w:szCs w:val="22"/>
        </w:rPr>
        <w:t xml:space="preserve">14.6 lakh crore.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There were 1,55,796 total clients in PMS industry as at the end of October 2020, of which 1,45,404 clients belong to discretionary services category, 8,409 clients belong to non-discretionary services category and 1,983 clients belong to advisory services category of portfolio management services.   </w:t>
      </w:r>
    </w:p>
    <w:p w:rsidR="00BB43D3" w:rsidRPr="00C21F81" w:rsidRDefault="00BB43D3" w:rsidP="00BB43D3">
      <w:pPr>
        <w:pBdr>
          <w:top w:val="nil"/>
          <w:left w:val="nil"/>
          <w:bottom w:val="nil"/>
          <w:right w:val="nil"/>
          <w:between w:val="nil"/>
        </w:pBdr>
        <w:spacing w:line="276" w:lineRule="auto"/>
        <w:ind w:left="567"/>
        <w:jc w:val="both"/>
        <w:rPr>
          <w:rFonts w:ascii="Palatino Linotype" w:eastAsia="Palatino Linotype" w:hAnsi="Palatino Linotype" w:cs="Palatino Linotype"/>
          <w:color w:val="222A35"/>
          <w:sz w:val="22"/>
          <w:szCs w:val="22"/>
        </w:rPr>
      </w:pPr>
    </w:p>
    <w:p w:rsidR="00BB43D3" w:rsidRPr="00C21F81" w:rsidRDefault="00BB43D3" w:rsidP="00BB43D3">
      <w:pPr>
        <w:widowControl w:val="0"/>
        <w:numPr>
          <w:ilvl w:val="0"/>
          <w:numId w:val="2"/>
        </w:numPr>
        <w:spacing w:line="276" w:lineRule="auto"/>
        <w:ind w:left="567" w:hanging="567"/>
        <w:rPr>
          <w:rFonts w:ascii="Palatino Linotype" w:eastAsia="Palatino Linotype" w:hAnsi="Palatino Linotype" w:cs="Palatino Linotype"/>
          <w:b/>
          <w:color w:val="222A35"/>
          <w:sz w:val="22"/>
          <w:szCs w:val="22"/>
        </w:rPr>
      </w:pPr>
      <w:r w:rsidRPr="00C21F81">
        <w:rPr>
          <w:rFonts w:ascii="Palatino Linotype" w:eastAsia="Palatino Linotype" w:hAnsi="Palatino Linotype" w:cs="Palatino Linotype"/>
          <w:b/>
          <w:color w:val="222A35"/>
          <w:sz w:val="22"/>
          <w:szCs w:val="22"/>
        </w:rPr>
        <w:t>Trends in Substantial Acquisition of Shares and Takeovers</w:t>
      </w:r>
    </w:p>
    <w:p w:rsidR="00BB43D3" w:rsidRPr="00C21F81"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222A35"/>
          <w:sz w:val="22"/>
          <w:szCs w:val="22"/>
        </w:rPr>
      </w:pPr>
      <w:r w:rsidRPr="00C21F81">
        <w:rPr>
          <w:rFonts w:ascii="Palatino Linotype" w:eastAsia="Palatino Linotype" w:hAnsi="Palatino Linotype" w:cs="Palatino Linotype"/>
          <w:color w:val="222A35"/>
          <w:sz w:val="22"/>
          <w:szCs w:val="22"/>
        </w:rPr>
        <w:t>There were no offers that closed during November 2020 under SEBI (Substantial Acquisition of Shares and Takeover) Regulations, 2011 (SAST Regulations).</w:t>
      </w:r>
    </w:p>
    <w:p w:rsidR="00BB43D3" w:rsidRDefault="00BB43D3" w:rsidP="00BB43D3">
      <w:pPr>
        <w:jc w:val="center"/>
        <w:rPr>
          <w:rFonts w:ascii="Palatino Linotype" w:eastAsia="Palatino Linotype" w:hAnsi="Palatino Linotype" w:cs="Palatino Linotype"/>
          <w:b/>
          <w:color w:val="222A35"/>
          <w:sz w:val="22"/>
          <w:szCs w:val="22"/>
        </w:rPr>
      </w:pPr>
    </w:p>
    <w:p w:rsidR="00BB43D3" w:rsidRPr="00C21F81" w:rsidRDefault="00BB43D3" w:rsidP="00BB43D3">
      <w:pPr>
        <w:jc w:val="center"/>
        <w:rPr>
          <w:rFonts w:ascii="Palatino Linotype" w:eastAsia="Palatino Linotype" w:hAnsi="Palatino Linotype" w:cs="Palatino Linotype"/>
          <w:b/>
          <w:color w:val="222A35"/>
          <w:sz w:val="22"/>
          <w:szCs w:val="22"/>
        </w:rPr>
      </w:pPr>
      <w:r w:rsidRPr="00C21F81">
        <w:rPr>
          <w:rFonts w:ascii="Palatino Linotype" w:eastAsia="Palatino Linotype" w:hAnsi="Palatino Linotype" w:cs="Palatino Linotype"/>
          <w:b/>
          <w:color w:val="222A35"/>
          <w:sz w:val="22"/>
          <w:szCs w:val="22"/>
        </w:rPr>
        <w:t>Figure 13: Details of Open Offers made under the SEBI (SAST) Regulations</w:t>
      </w:r>
    </w:p>
    <w:p w:rsidR="00BB43D3" w:rsidRPr="00C21F81" w:rsidRDefault="00BB43D3" w:rsidP="00BB43D3">
      <w:pPr>
        <w:spacing w:line="276" w:lineRule="auto"/>
        <w:jc w:val="center"/>
        <w:rPr>
          <w:rFonts w:ascii="Palatino Linotype" w:eastAsia="Palatino Linotype" w:hAnsi="Palatino Linotype" w:cs="Palatino Linotype"/>
          <w:b/>
          <w:color w:val="222A35"/>
          <w:sz w:val="22"/>
          <w:szCs w:val="22"/>
        </w:rPr>
      </w:pPr>
      <w:r w:rsidRPr="00C21F81">
        <w:rPr>
          <w:rFonts w:ascii="Palatino Linotype" w:hAnsi="Palatino Linotype"/>
          <w:noProof/>
          <w:lang w:val="en-IN" w:eastAsia="en-IN" w:bidi="hi-IN"/>
        </w:rPr>
        <w:drawing>
          <wp:inline distT="0" distB="0" distL="0" distR="0">
            <wp:extent cx="5797550" cy="2836545"/>
            <wp:effectExtent l="0" t="0" r="12700" b="1905"/>
            <wp:docPr id="45" name="Chart 45" descr="Title: Amount (Rs. Cror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B43D3" w:rsidRPr="00C21F81" w:rsidRDefault="00BB43D3" w:rsidP="00BB43D3">
      <w:pPr>
        <w:widowControl w:val="0"/>
        <w:spacing w:line="276" w:lineRule="auto"/>
        <w:contextualSpacing/>
        <w:jc w:val="both"/>
        <w:rPr>
          <w:rFonts w:ascii="Palatino Linotype" w:eastAsia="Palatino Linotype" w:hAnsi="Palatino Linotype" w:cs="Palatino Linotype"/>
          <w:color w:val="2E74B5"/>
          <w:sz w:val="22"/>
          <w:szCs w:val="22"/>
          <w:highlight w:val="yellow"/>
          <w:lang w:val="en-US"/>
        </w:rPr>
      </w:pPr>
    </w:p>
    <w:p w:rsidR="00BB43D3" w:rsidRPr="006C6C07" w:rsidRDefault="00BB43D3" w:rsidP="00BB43D3">
      <w:pPr>
        <w:widowControl w:val="0"/>
        <w:ind w:left="-284"/>
        <w:jc w:val="both"/>
        <w:rPr>
          <w:rFonts w:ascii="Palatino Linotype" w:eastAsia="Times New Roman" w:hAnsi="Palatino Linotype"/>
          <w:b/>
          <w:color w:val="0F0684"/>
        </w:rPr>
      </w:pPr>
      <w:r w:rsidRPr="006C6C07">
        <w:rPr>
          <w:rFonts w:ascii="Palatino Linotype" w:hAnsi="Palatino Linotype"/>
          <w:b/>
          <w:color w:val="0F0684"/>
        </w:rPr>
        <w:t>IX.     Commodity Derivatives Markets</w:t>
      </w:r>
    </w:p>
    <w:p w:rsidR="00BB43D3" w:rsidRPr="006C6C07" w:rsidRDefault="00BB43D3" w:rsidP="00BB43D3">
      <w:pPr>
        <w:pStyle w:val="ListParagraph"/>
        <w:spacing w:after="0" w:line="240" w:lineRule="auto"/>
        <w:jc w:val="both"/>
        <w:rPr>
          <w:rFonts w:ascii="Palatino Linotype" w:eastAsia="Times New Roman" w:hAnsi="Palatino Linotype"/>
          <w:b/>
          <w:color w:val="000000"/>
          <w:sz w:val="22"/>
          <w:szCs w:val="22"/>
        </w:rPr>
      </w:pPr>
    </w:p>
    <w:p w:rsidR="00BB43D3" w:rsidRPr="006C6C07" w:rsidRDefault="00BB43D3" w:rsidP="00BB43D3">
      <w:pPr>
        <w:pStyle w:val="ListParagraph"/>
        <w:numPr>
          <w:ilvl w:val="0"/>
          <w:numId w:val="27"/>
        </w:numPr>
        <w:spacing w:after="0" w:line="240" w:lineRule="auto"/>
        <w:ind w:left="-284" w:firstLine="0"/>
        <w:jc w:val="both"/>
        <w:rPr>
          <w:rFonts w:ascii="Palatino Linotype" w:eastAsia="Times New Roman" w:hAnsi="Palatino Linotype"/>
          <w:b/>
          <w:color w:val="000000"/>
          <w:sz w:val="22"/>
          <w:szCs w:val="22"/>
        </w:rPr>
      </w:pPr>
      <w:r w:rsidRPr="006C6C07">
        <w:rPr>
          <w:rFonts w:ascii="Palatino Linotype" w:eastAsia="Times New Roman" w:hAnsi="Palatino Linotype"/>
          <w:b/>
          <w:color w:val="000000"/>
          <w:sz w:val="22"/>
          <w:szCs w:val="22"/>
        </w:rPr>
        <w:t xml:space="preserve">      Market Trends</w:t>
      </w:r>
    </w:p>
    <w:p w:rsidR="00BB43D3" w:rsidRPr="006C6C07" w:rsidRDefault="00BB43D3" w:rsidP="00BB43D3">
      <w:pPr>
        <w:pStyle w:val="ListParagraph"/>
        <w:spacing w:after="0" w:line="240" w:lineRule="auto"/>
        <w:jc w:val="both"/>
        <w:rPr>
          <w:rFonts w:ascii="Palatino Linotype" w:hAnsi="Palatino Linotype"/>
          <w:sz w:val="22"/>
          <w:szCs w:val="22"/>
        </w:rPr>
      </w:pP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November 2020, MCX iCOMDEX composite index, witnessed an increase of 2.8 per cent (M-o-M) driven by increase in futures prices of base metals, energy (crude oil) and agri. segment. On Y-o-Y basis, MCX iCOMDEX composite index decreased by 1.9 per cent.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During the month, MCX iCOMDEX crude oil index increased by 24.7 per cent on account of increase in futures price of crude oil by 25.9 per cent. MCX iCOMDEX base metal index increased by 9.6 per cent due to increase in futures price of all the base metals. MCX iCOMDEX bullion index decreased by 5.1 per cent due to decrease in futures prices of gold and silver by 5.7 per cent and 2.9 per cent respectively. In the agri. segment, futures prices of all the traded commodities increased during the month.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eastAsia="Palatino Linotype" w:hAnsi="Palatino Linotype" w:cs="Palatino Linotype"/>
          <w:sz w:val="22"/>
          <w:szCs w:val="22"/>
        </w:rPr>
        <w:t xml:space="preserve">NKrishi index increased by 0.4 per cent (M-o-M) as futures prices of five out of 10 constituent commodities of the index viz. soybean, refined soy oil, cottonseed oilcake, barley and castorseed witnessed uptrend. On Y-o-Y basis NKrishi index increased by 7.1 per cent.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eastAsia="Times New Roman" w:hAnsi="Palatino Linotype"/>
          <w:color w:val="000000"/>
          <w:sz w:val="22"/>
          <w:szCs w:val="22"/>
        </w:rPr>
      </w:pPr>
      <w:r w:rsidRPr="006C6C07">
        <w:rPr>
          <w:rFonts w:ascii="Palatino Linotype" w:eastAsia="Palatino Linotype" w:hAnsi="Palatino Linotype" w:cs="Palatino Linotype"/>
          <w:sz w:val="22"/>
          <w:szCs w:val="22"/>
        </w:rPr>
        <w:t>Monthly trends</w:t>
      </w:r>
      <w:r w:rsidRPr="006C6C07">
        <w:rPr>
          <w:rFonts w:ascii="Palatino Linotype" w:eastAsia="Times New Roman" w:hAnsi="Palatino Linotype"/>
          <w:color w:val="000000"/>
          <w:sz w:val="22"/>
          <w:szCs w:val="22"/>
        </w:rPr>
        <w:t xml:space="preserve"> in MCX iCOMDEX composite Index and NKrishi Index are provided in Table 64.</w:t>
      </w:r>
    </w:p>
    <w:p w:rsidR="00BB43D3" w:rsidRPr="00C21F81" w:rsidRDefault="00BB43D3" w:rsidP="00BB43D3">
      <w:pPr>
        <w:pStyle w:val="ListParagraph"/>
        <w:spacing w:after="0" w:line="240" w:lineRule="auto"/>
        <w:ind w:left="426" w:hanging="142"/>
        <w:jc w:val="center"/>
        <w:rPr>
          <w:rFonts w:ascii="Palatino Linotype" w:eastAsia="Times New Roman" w:hAnsi="Palatino Linotype"/>
          <w:b/>
          <w:color w:val="2E74B5"/>
          <w:sz w:val="22"/>
          <w:szCs w:val="22"/>
        </w:rPr>
      </w:pPr>
    </w:p>
    <w:p w:rsidR="00BB43D3" w:rsidRPr="006C6C07" w:rsidRDefault="00BB43D3" w:rsidP="00BB43D3">
      <w:pPr>
        <w:pStyle w:val="ListParagraph"/>
        <w:spacing w:after="0" w:line="240" w:lineRule="auto"/>
        <w:ind w:left="142" w:hanging="142"/>
        <w:jc w:val="center"/>
        <w:rPr>
          <w:rFonts w:ascii="Palatino Linotype" w:eastAsia="Times New Roman" w:hAnsi="Palatino Linotype"/>
          <w:b/>
          <w:sz w:val="22"/>
          <w:szCs w:val="22"/>
        </w:rPr>
      </w:pPr>
      <w:r>
        <w:rPr>
          <w:rFonts w:ascii="Palatino Linotype" w:eastAsia="Times New Roman" w:hAnsi="Palatino Linotype"/>
          <w:b/>
          <w:sz w:val="22"/>
          <w:szCs w:val="22"/>
        </w:rPr>
        <w:br w:type="page"/>
      </w:r>
      <w:r w:rsidRPr="006C6C07">
        <w:rPr>
          <w:rFonts w:ascii="Palatino Linotype" w:eastAsia="Times New Roman" w:hAnsi="Palatino Linotype"/>
          <w:b/>
          <w:sz w:val="22"/>
          <w:szCs w:val="22"/>
        </w:rPr>
        <w:t>Figure 14: Movement of Commodity Derivatives Market Indices during Nov-2020</w:t>
      </w:r>
    </w:p>
    <w:p w:rsidR="00BB43D3" w:rsidRPr="00C21F81" w:rsidRDefault="00BB43D3" w:rsidP="00BB43D3">
      <w:pPr>
        <w:pStyle w:val="ListParagraph"/>
        <w:spacing w:after="0" w:line="240" w:lineRule="auto"/>
        <w:ind w:left="142" w:hanging="142"/>
        <w:jc w:val="center"/>
        <w:rPr>
          <w:rFonts w:ascii="Palatino Linotype" w:eastAsia="Times New Roman" w:hAnsi="Palatino Linotype"/>
          <w:b/>
          <w:color w:val="2E74B5"/>
          <w:sz w:val="22"/>
          <w:szCs w:val="22"/>
        </w:rPr>
      </w:pPr>
      <w:r w:rsidRPr="00C21F81">
        <w:rPr>
          <w:rFonts w:ascii="Palatino Linotype" w:hAnsi="Palatino Linotype"/>
          <w:noProof/>
          <w:lang w:val="en-IN" w:eastAsia="en-IN" w:bidi="hi-IN"/>
        </w:rPr>
        <w:drawing>
          <wp:inline distT="0" distB="0" distL="0" distR="0">
            <wp:extent cx="4599305" cy="2673350"/>
            <wp:effectExtent l="0" t="0" r="10795" b="1270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43D3" w:rsidRPr="006C6C07" w:rsidRDefault="00BB43D3" w:rsidP="00BB43D3">
      <w:pPr>
        <w:pStyle w:val="ListParagraph"/>
        <w:spacing w:after="0" w:line="480" w:lineRule="auto"/>
        <w:ind w:left="-426"/>
        <w:rPr>
          <w:rFonts w:ascii="Palatino Linotype" w:hAnsi="Palatino Linotype" w:cs="Arial"/>
          <w:b/>
          <w:bCs/>
          <w:sz w:val="22"/>
          <w:szCs w:val="22"/>
        </w:rPr>
      </w:pPr>
      <w:r w:rsidRPr="006C6C07">
        <w:rPr>
          <w:rFonts w:ascii="Palatino Linotype" w:hAnsi="Palatino Linotype" w:cs="Arial"/>
          <w:b/>
          <w:bCs/>
          <w:sz w:val="22"/>
          <w:szCs w:val="22"/>
        </w:rPr>
        <w:t xml:space="preserve">                          </w:t>
      </w:r>
      <w:r w:rsidRPr="006C6C07">
        <w:rPr>
          <w:rFonts w:ascii="Palatino Linotype" w:hAnsi="Palatino Linotype" w:cs="Arial"/>
          <w:b/>
          <w:bCs/>
          <w:sz w:val="18"/>
          <w:szCs w:val="18"/>
        </w:rPr>
        <w:t>Source: MCX and NCDEX</w:t>
      </w:r>
    </w:p>
    <w:p w:rsidR="00BB43D3" w:rsidRPr="006C6C07" w:rsidRDefault="00BB43D3" w:rsidP="00BB43D3">
      <w:pPr>
        <w:ind w:left="-426"/>
        <w:jc w:val="both"/>
        <w:rPr>
          <w:rFonts w:ascii="Palatino Linotype" w:hAnsi="Palatino Linotype"/>
        </w:rPr>
      </w:pPr>
      <w:r w:rsidRPr="006C6C07">
        <w:rPr>
          <w:rFonts w:ascii="Palatino Linotype" w:hAnsi="Palatino Linotype" w:cs="Arial"/>
          <w:b/>
          <w:bCs/>
        </w:rPr>
        <w:t xml:space="preserve">           </w:t>
      </w:r>
    </w:p>
    <w:p w:rsidR="00BB43D3" w:rsidRPr="00F80760" w:rsidRDefault="00BB43D3" w:rsidP="00BB43D3">
      <w:pPr>
        <w:pStyle w:val="ListParagraph"/>
        <w:spacing w:after="0" w:line="240" w:lineRule="auto"/>
        <w:jc w:val="center"/>
        <w:rPr>
          <w:rFonts w:ascii="Palatino Linotype" w:hAnsi="Palatino Linotype" w:cs="Arial"/>
          <w:b/>
          <w:bCs/>
          <w:sz w:val="22"/>
          <w:szCs w:val="22"/>
        </w:rPr>
      </w:pPr>
      <w:r w:rsidRPr="00F80760">
        <w:rPr>
          <w:rFonts w:ascii="Palatino Linotype" w:hAnsi="Palatino Linotype" w:cs="Arial"/>
          <w:b/>
          <w:bCs/>
          <w:sz w:val="22"/>
          <w:szCs w:val="22"/>
        </w:rPr>
        <w:t>Table 4: Snapshot of Indian Commodity Derivative Markets</w:t>
      </w:r>
    </w:p>
    <w:tbl>
      <w:tblPr>
        <w:tblpPr w:leftFromText="180" w:rightFromText="180" w:vertAnchor="text" w:tblpXSpec="center" w:tblpY="1"/>
        <w:tblOverlap w:val="never"/>
        <w:tblW w:w="8217" w:type="dxa"/>
        <w:jc w:val="center"/>
        <w:tblLook w:val="04A0" w:firstRow="1" w:lastRow="0" w:firstColumn="1" w:lastColumn="0" w:noHBand="0" w:noVBand="1"/>
      </w:tblPr>
      <w:tblGrid>
        <w:gridCol w:w="3271"/>
        <w:gridCol w:w="1128"/>
        <w:gridCol w:w="1236"/>
        <w:gridCol w:w="1319"/>
        <w:gridCol w:w="1263"/>
      </w:tblGrid>
      <w:tr w:rsidR="00BB43D3" w:rsidRPr="00C21F81" w:rsidTr="0001273A">
        <w:trPr>
          <w:trHeight w:val="699"/>
          <w:tblHeader/>
          <w:jc w:val="center"/>
        </w:trPr>
        <w:tc>
          <w:tcPr>
            <w:tcW w:w="3271" w:type="dxa"/>
            <w:tcBorders>
              <w:top w:val="single" w:sz="4" w:space="0" w:color="auto"/>
              <w:left w:val="single" w:sz="4" w:space="0" w:color="auto"/>
              <w:bottom w:val="single" w:sz="4" w:space="0" w:color="auto"/>
              <w:right w:val="single" w:sz="4" w:space="0" w:color="auto"/>
            </w:tcBorders>
            <w:shd w:val="clear" w:color="auto" w:fill="auto"/>
            <w:noWrap/>
            <w:hideMark/>
          </w:tcPr>
          <w:p w:rsidR="00BB43D3" w:rsidRPr="00C21F81" w:rsidRDefault="00BB43D3" w:rsidP="0001273A">
            <w:pPr>
              <w:rPr>
                <w:rFonts w:ascii="Palatino Linotype" w:hAnsi="Palatino Linotype" w:cs="Arial"/>
                <w:b/>
                <w:bCs/>
                <w:sz w:val="20"/>
                <w:szCs w:val="20"/>
              </w:rPr>
            </w:pPr>
            <w:r w:rsidRPr="00C21F81">
              <w:rPr>
                <w:rFonts w:ascii="Palatino Linotype" w:hAnsi="Palatino Linotype" w:cs="Arial"/>
                <w:b/>
                <w:bCs/>
                <w:sz w:val="20"/>
                <w:szCs w:val="20"/>
              </w:rPr>
              <w:t>Items</w:t>
            </w:r>
          </w:p>
        </w:tc>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rsidR="00BB43D3" w:rsidRPr="00C21F81" w:rsidRDefault="00BB43D3" w:rsidP="0001273A">
            <w:pPr>
              <w:jc w:val="center"/>
              <w:rPr>
                <w:rFonts w:ascii="Palatino Linotype" w:hAnsi="Palatino Linotype" w:cs="Arial"/>
                <w:b/>
                <w:bCs/>
                <w:sz w:val="20"/>
                <w:szCs w:val="20"/>
              </w:rPr>
            </w:pPr>
            <w:r w:rsidRPr="00C21F81">
              <w:rPr>
                <w:rFonts w:ascii="Palatino Linotype" w:hAnsi="Palatino Linotype" w:cs="Arial"/>
                <w:b/>
                <w:bCs/>
                <w:sz w:val="20"/>
                <w:szCs w:val="20"/>
              </w:rPr>
              <w:t>2019-20</w:t>
            </w:r>
          </w:p>
        </w:tc>
        <w:tc>
          <w:tcPr>
            <w:tcW w:w="1236" w:type="dxa"/>
            <w:tcBorders>
              <w:top w:val="single" w:sz="4" w:space="0" w:color="auto"/>
              <w:left w:val="single" w:sz="4" w:space="0" w:color="auto"/>
              <w:right w:val="single" w:sz="4" w:space="0" w:color="auto"/>
            </w:tcBorders>
          </w:tcPr>
          <w:p w:rsidR="00BB43D3" w:rsidRPr="00C21F81" w:rsidRDefault="00BB43D3" w:rsidP="0001273A">
            <w:pPr>
              <w:jc w:val="center"/>
              <w:rPr>
                <w:rFonts w:ascii="Palatino Linotype" w:hAnsi="Palatino Linotype" w:cs="Arial"/>
                <w:b/>
                <w:bCs/>
                <w:sz w:val="20"/>
                <w:szCs w:val="20"/>
              </w:rPr>
            </w:pPr>
            <w:r w:rsidRPr="00C21F81">
              <w:rPr>
                <w:rFonts w:ascii="Palatino Linotype" w:hAnsi="Palatino Linotype" w:cs="Arial"/>
                <w:b/>
                <w:bCs/>
                <w:sz w:val="20"/>
                <w:szCs w:val="20"/>
              </w:rPr>
              <w:t>Oct- 2020</w:t>
            </w:r>
          </w:p>
        </w:tc>
        <w:tc>
          <w:tcPr>
            <w:tcW w:w="1319" w:type="dxa"/>
            <w:tcBorders>
              <w:top w:val="single" w:sz="4" w:space="0" w:color="auto"/>
              <w:left w:val="single" w:sz="4" w:space="0" w:color="auto"/>
              <w:bottom w:val="single" w:sz="4" w:space="0" w:color="auto"/>
              <w:right w:val="single" w:sz="4" w:space="0" w:color="auto"/>
            </w:tcBorders>
            <w:shd w:val="clear" w:color="auto" w:fill="auto"/>
            <w:noWrap/>
            <w:hideMark/>
          </w:tcPr>
          <w:p w:rsidR="00BB43D3" w:rsidRPr="00C21F81" w:rsidRDefault="00BB43D3" w:rsidP="0001273A">
            <w:pPr>
              <w:jc w:val="center"/>
              <w:rPr>
                <w:rFonts w:ascii="Palatino Linotype" w:hAnsi="Palatino Linotype" w:cs="Arial"/>
                <w:b/>
                <w:bCs/>
                <w:sz w:val="20"/>
                <w:szCs w:val="20"/>
              </w:rPr>
            </w:pPr>
            <w:r w:rsidRPr="00C21F81">
              <w:rPr>
                <w:rFonts w:ascii="Palatino Linotype" w:hAnsi="Palatino Linotype" w:cs="Arial"/>
                <w:b/>
                <w:bCs/>
                <w:sz w:val="20"/>
                <w:szCs w:val="20"/>
              </w:rPr>
              <w:t>Nov -2020</w:t>
            </w:r>
          </w:p>
        </w:tc>
        <w:tc>
          <w:tcPr>
            <w:tcW w:w="1263" w:type="dxa"/>
            <w:tcBorders>
              <w:top w:val="single" w:sz="4" w:space="0" w:color="auto"/>
              <w:left w:val="single" w:sz="4" w:space="0" w:color="auto"/>
              <w:bottom w:val="single" w:sz="4" w:space="0" w:color="000000"/>
              <w:right w:val="single" w:sz="4" w:space="0" w:color="auto"/>
            </w:tcBorders>
            <w:shd w:val="clear" w:color="auto" w:fill="auto"/>
            <w:hideMark/>
          </w:tcPr>
          <w:p w:rsidR="00BB43D3" w:rsidRPr="00C21F81" w:rsidRDefault="00BB43D3" w:rsidP="0001273A">
            <w:pPr>
              <w:jc w:val="center"/>
              <w:rPr>
                <w:rFonts w:ascii="Palatino Linotype" w:hAnsi="Palatino Linotype" w:cs="Arial"/>
                <w:b/>
                <w:bCs/>
                <w:sz w:val="20"/>
                <w:szCs w:val="20"/>
              </w:rPr>
            </w:pPr>
            <w:r w:rsidRPr="00C21F81">
              <w:rPr>
                <w:rFonts w:ascii="Palatino Linotype" w:hAnsi="Palatino Linotype" w:cs="Arial"/>
                <w:b/>
                <w:bCs/>
                <w:sz w:val="20"/>
                <w:szCs w:val="20"/>
              </w:rPr>
              <w:t>Percentage variation</w:t>
            </w:r>
          </w:p>
          <w:p w:rsidR="00BB43D3" w:rsidRPr="00C21F81" w:rsidRDefault="00BB43D3" w:rsidP="0001273A">
            <w:pPr>
              <w:jc w:val="center"/>
              <w:rPr>
                <w:rFonts w:ascii="Palatino Linotype" w:hAnsi="Palatino Linotype" w:cs="Arial"/>
                <w:b/>
                <w:bCs/>
                <w:sz w:val="20"/>
                <w:szCs w:val="20"/>
              </w:rPr>
            </w:pPr>
            <w:r w:rsidRPr="00C21F81">
              <w:rPr>
                <w:rFonts w:ascii="Palatino Linotype" w:hAnsi="Palatino Linotype" w:cs="Arial"/>
                <w:b/>
                <w:bCs/>
                <w:sz w:val="20"/>
                <w:szCs w:val="20"/>
              </w:rPr>
              <w:t>M-o-M</w:t>
            </w:r>
          </w:p>
        </w:tc>
      </w:tr>
      <w:tr w:rsidR="00BB43D3" w:rsidRPr="00C21F81" w:rsidTr="0001273A">
        <w:trPr>
          <w:trHeight w:val="367"/>
          <w:jc w:val="center"/>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tcPr>
          <w:p w:rsidR="00BB43D3" w:rsidRPr="006C6C07" w:rsidRDefault="00BB43D3" w:rsidP="0001273A">
            <w:pPr>
              <w:pStyle w:val="ListParagraph"/>
              <w:numPr>
                <w:ilvl w:val="0"/>
                <w:numId w:val="11"/>
              </w:numPr>
              <w:spacing w:after="0" w:line="240" w:lineRule="auto"/>
              <w:ind w:left="317" w:hanging="284"/>
              <w:rPr>
                <w:rFonts w:ascii="Palatino Linotype" w:hAnsi="Palatino Linotype" w:cs="Arial"/>
                <w:b/>
                <w:bCs/>
              </w:rPr>
            </w:pPr>
            <w:r w:rsidRPr="006C6C07">
              <w:rPr>
                <w:rFonts w:ascii="Palatino Linotype" w:hAnsi="Palatino Linotype" w:cs="Arial"/>
                <w:b/>
                <w:bCs/>
              </w:rPr>
              <w:t>Indices</w:t>
            </w:r>
          </w:p>
        </w:tc>
      </w:tr>
      <w:tr w:rsidR="00BB43D3" w:rsidRPr="00C21F81" w:rsidTr="0001273A">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hideMark/>
          </w:tcPr>
          <w:p w:rsidR="00BB43D3" w:rsidRPr="00C21F81" w:rsidRDefault="00BB43D3" w:rsidP="0001273A">
            <w:pPr>
              <w:tabs>
                <w:tab w:val="left" w:pos="317"/>
              </w:tabs>
              <w:rPr>
                <w:rFonts w:ascii="Palatino Linotype" w:hAnsi="Palatino Linotype" w:cs="Arial"/>
                <w:bCs/>
                <w:sz w:val="20"/>
                <w:szCs w:val="20"/>
              </w:rPr>
            </w:pPr>
            <w:r w:rsidRPr="00C21F81">
              <w:rPr>
                <w:rFonts w:ascii="Palatino Linotype" w:hAnsi="Palatino Linotype" w:cs="Arial"/>
                <w:bCs/>
                <w:sz w:val="20"/>
                <w:szCs w:val="20"/>
              </w:rPr>
              <w:t>Nkrishi</w:t>
            </w:r>
          </w:p>
        </w:tc>
        <w:tc>
          <w:tcPr>
            <w:tcW w:w="1128" w:type="dxa"/>
            <w:tcBorders>
              <w:top w:val="nil"/>
              <w:left w:val="nil"/>
              <w:bottom w:val="single" w:sz="4" w:space="0" w:color="auto"/>
              <w:right w:val="single" w:sz="4" w:space="0" w:color="auto"/>
            </w:tcBorders>
            <w:shd w:val="clear" w:color="auto" w:fill="auto"/>
            <w:noWrap/>
            <w:hideMark/>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3,180</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3,758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3,771</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0.4</w:t>
            </w:r>
          </w:p>
        </w:tc>
      </w:tr>
      <w:tr w:rsidR="00BB43D3" w:rsidRPr="00C21F81" w:rsidTr="0001273A">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tabs>
                <w:tab w:val="left" w:pos="317"/>
              </w:tabs>
              <w:rPr>
                <w:rFonts w:ascii="Palatino Linotype" w:hAnsi="Palatino Linotype" w:cs="Arial"/>
                <w:bCs/>
                <w:sz w:val="20"/>
                <w:szCs w:val="20"/>
              </w:rPr>
            </w:pPr>
            <w:r w:rsidRPr="00C21F81">
              <w:rPr>
                <w:rFonts w:ascii="Palatino Linotype" w:hAnsi="Palatino Linotype" w:cs="Arial"/>
                <w:bCs/>
                <w:sz w:val="20"/>
                <w:szCs w:val="20"/>
              </w:rPr>
              <w:t>MCX iCOMDEX</w:t>
            </w:r>
          </w:p>
        </w:tc>
        <w:tc>
          <w:tcPr>
            <w:tcW w:w="1128"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8,256</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9,874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10,149</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2.8</w:t>
            </w:r>
          </w:p>
        </w:tc>
      </w:tr>
      <w:tr w:rsidR="00BB43D3" w:rsidRPr="00C21F81" w:rsidTr="0001273A">
        <w:trPr>
          <w:trHeight w:val="224"/>
          <w:jc w:val="center"/>
        </w:trPr>
        <w:tc>
          <w:tcPr>
            <w:tcW w:w="8217" w:type="dxa"/>
            <w:gridSpan w:val="5"/>
            <w:tcBorders>
              <w:top w:val="nil"/>
              <w:left w:val="single" w:sz="4" w:space="0" w:color="auto"/>
              <w:bottom w:val="single" w:sz="4" w:space="0" w:color="auto"/>
              <w:right w:val="single" w:sz="4" w:space="0" w:color="auto"/>
            </w:tcBorders>
            <w:shd w:val="clear" w:color="auto" w:fill="auto"/>
            <w:noWrap/>
          </w:tcPr>
          <w:p w:rsidR="00BB43D3" w:rsidRPr="006C6C07" w:rsidRDefault="00BB43D3" w:rsidP="0001273A">
            <w:pPr>
              <w:pStyle w:val="ListParagraph"/>
              <w:numPr>
                <w:ilvl w:val="0"/>
                <w:numId w:val="11"/>
              </w:numPr>
              <w:tabs>
                <w:tab w:val="left" w:pos="317"/>
              </w:tabs>
              <w:spacing w:after="0" w:line="240" w:lineRule="auto"/>
              <w:ind w:left="317" w:hanging="317"/>
              <w:rPr>
                <w:rFonts w:ascii="Palatino Linotype" w:hAnsi="Palatino Linotype" w:cs="Arial"/>
                <w:bCs/>
              </w:rPr>
            </w:pPr>
            <w:r w:rsidRPr="006C6C07">
              <w:rPr>
                <w:rFonts w:ascii="Palatino Linotype" w:hAnsi="Palatino Linotype" w:cs="Arial"/>
                <w:b/>
                <w:bCs/>
              </w:rPr>
              <w:t>Turnover (</w:t>
            </w:r>
            <w:r w:rsidRPr="006C6C07">
              <w:rPr>
                <w:rFonts w:ascii="Tahoma" w:hAnsi="Tahoma" w:cs="Tahoma"/>
                <w:b/>
                <w:bCs/>
              </w:rPr>
              <w:t>₹</w:t>
            </w:r>
            <w:r w:rsidRPr="006C6C07">
              <w:rPr>
                <w:rFonts w:ascii="Palatino Linotype" w:hAnsi="Palatino Linotype" w:cs="Arial"/>
                <w:b/>
                <w:bCs/>
              </w:rPr>
              <w:t>crore)</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hideMark/>
          </w:tcPr>
          <w:p w:rsidR="00BB43D3" w:rsidRPr="00C21F81" w:rsidRDefault="00BB43D3" w:rsidP="0001273A">
            <w:pPr>
              <w:tabs>
                <w:tab w:val="left" w:pos="317"/>
              </w:tabs>
              <w:rPr>
                <w:rFonts w:ascii="Palatino Linotype" w:hAnsi="Palatino Linotype" w:cs="Arial"/>
                <w:b/>
                <w:bCs/>
                <w:sz w:val="20"/>
                <w:szCs w:val="20"/>
              </w:rPr>
            </w:pPr>
            <w:r w:rsidRPr="00C21F81">
              <w:rPr>
                <w:rFonts w:ascii="Palatino Linotype" w:hAnsi="Palatino Linotype" w:cs="Arial"/>
                <w:b/>
                <w:bCs/>
                <w:sz w:val="20"/>
                <w:szCs w:val="20"/>
              </w:rPr>
              <w:t>All-India</w:t>
            </w:r>
          </w:p>
        </w:tc>
        <w:tc>
          <w:tcPr>
            <w:tcW w:w="1128" w:type="dxa"/>
            <w:tcBorders>
              <w:top w:val="nil"/>
              <w:left w:val="single" w:sz="4" w:space="0" w:color="auto"/>
              <w:bottom w:val="single" w:sz="4" w:space="0" w:color="auto"/>
              <w:right w:val="single" w:sz="4" w:space="0" w:color="auto"/>
            </w:tcBorders>
            <w:shd w:val="clear" w:color="auto" w:fill="auto"/>
            <w:noWrap/>
            <w:hideMark/>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92,24,839</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7,99,498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8,47,611</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6.0</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
                <w:bCs/>
                <w:sz w:val="20"/>
                <w:szCs w:val="20"/>
              </w:rPr>
            </w:pPr>
            <w:r w:rsidRPr="00C21F81">
              <w:rPr>
                <w:rFonts w:ascii="Palatino Linotype" w:hAnsi="Palatino Linotype" w:cs="Arial"/>
                <w:b/>
                <w:bCs/>
                <w:sz w:val="20"/>
                <w:szCs w:val="20"/>
              </w:rPr>
              <w:t>MCX, of which</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tabs>
                <w:tab w:val="right" w:pos="912"/>
              </w:tabs>
              <w:jc w:val="right"/>
              <w:rPr>
                <w:rFonts w:ascii="Palatino Linotype" w:hAnsi="Palatino Linotype" w:cs="Arial"/>
                <w:b/>
                <w:bCs/>
                <w:sz w:val="20"/>
                <w:szCs w:val="20"/>
              </w:rPr>
            </w:pPr>
            <w:r w:rsidRPr="00C21F81">
              <w:rPr>
                <w:rFonts w:ascii="Palatino Linotype" w:hAnsi="Palatino Linotype" w:cs="Arial"/>
                <w:b/>
                <w:bCs/>
                <w:sz w:val="20"/>
                <w:szCs w:val="20"/>
              </w:rPr>
              <w:t>86,89,518</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7,08,681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tabs>
                <w:tab w:val="center" w:pos="551"/>
              </w:tabs>
              <w:jc w:val="right"/>
              <w:rPr>
                <w:rFonts w:ascii="Palatino Linotype" w:hAnsi="Palatino Linotype" w:cs="Arial"/>
                <w:b/>
                <w:bCs/>
                <w:sz w:val="20"/>
                <w:szCs w:val="20"/>
              </w:rPr>
            </w:pPr>
            <w:r w:rsidRPr="00C21F81">
              <w:rPr>
                <w:rFonts w:ascii="Palatino Linotype" w:hAnsi="Palatino Linotype" w:cs="Arial"/>
                <w:b/>
                <w:bCs/>
                <w:sz w:val="20"/>
                <w:szCs w:val="20"/>
              </w:rPr>
              <w:t>7,59,530</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7.2</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Cs/>
                <w:i/>
                <w:sz w:val="20"/>
                <w:szCs w:val="20"/>
              </w:rPr>
            </w:pPr>
            <w:r w:rsidRPr="00C21F81">
              <w:rPr>
                <w:rFonts w:ascii="Palatino Linotype" w:hAnsi="Palatino Linotype" w:cs="Arial"/>
                <w:bCs/>
                <w:i/>
                <w:sz w:val="20"/>
                <w:szCs w:val="20"/>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83,97,775</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6,98,765</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7,32,966</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4.9</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Cs/>
                <w:i/>
                <w:sz w:val="20"/>
                <w:szCs w:val="20"/>
              </w:rPr>
            </w:pPr>
            <w:r w:rsidRPr="00C21F81">
              <w:rPr>
                <w:rFonts w:ascii="Palatino Linotype" w:hAnsi="Palatino Linotype" w:cs="Arial"/>
                <w:bCs/>
                <w:i/>
                <w:sz w:val="20"/>
                <w:szCs w:val="20"/>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2,91,743</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9,916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26,564</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167.9</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Cs/>
                <w:i/>
                <w:sz w:val="20"/>
                <w:szCs w:val="20"/>
              </w:rPr>
            </w:pPr>
            <w:r w:rsidRPr="00C21F81">
              <w:rPr>
                <w:rFonts w:ascii="Palatino Linotype" w:hAnsi="Palatino Linotype" w:cs="Arial"/>
                <w:b/>
                <w:bCs/>
                <w:sz w:val="20"/>
                <w:szCs w:val="20"/>
              </w:rPr>
              <w:t>BSE, of which</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
                <w:bCs/>
                <w:sz w:val="20"/>
                <w:szCs w:val="20"/>
              </w:rPr>
              <w:t>46,439</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
                <w:bCs/>
                <w:sz w:val="20"/>
                <w:szCs w:val="20"/>
              </w:rPr>
              <w:t>56,385</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
                <w:bCs/>
                <w:sz w:val="20"/>
                <w:szCs w:val="20"/>
              </w:rPr>
              <w:t>54,131</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
                <w:bCs/>
                <w:sz w:val="20"/>
                <w:szCs w:val="20"/>
              </w:rPr>
              <w:t>-4.0</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Cs/>
                <w:i/>
                <w:sz w:val="20"/>
                <w:szCs w:val="20"/>
              </w:rPr>
            </w:pPr>
            <w:r w:rsidRPr="00C21F81">
              <w:rPr>
                <w:rFonts w:ascii="Palatino Linotype" w:hAnsi="Palatino Linotype" w:cs="Arial"/>
                <w:bCs/>
                <w:i/>
                <w:sz w:val="20"/>
                <w:szCs w:val="20"/>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46,439</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248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176</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-28.8</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Cs/>
                <w:i/>
                <w:sz w:val="20"/>
                <w:szCs w:val="20"/>
              </w:rPr>
            </w:pPr>
            <w:r w:rsidRPr="00C21F81">
              <w:rPr>
                <w:rFonts w:ascii="Palatino Linotype" w:hAnsi="Palatino Linotype" w:cs="Arial"/>
                <w:bCs/>
                <w:i/>
                <w:sz w:val="20"/>
                <w:szCs w:val="20"/>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
                <w:bCs/>
                <w:sz w:val="20"/>
                <w:szCs w:val="20"/>
              </w:rPr>
              <w:t>-</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56,137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53,954</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-3.9</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
                <w:bCs/>
                <w:sz w:val="20"/>
                <w:szCs w:val="20"/>
              </w:rPr>
            </w:pPr>
            <w:r w:rsidRPr="00C21F81">
              <w:rPr>
                <w:rFonts w:ascii="Palatino Linotype" w:hAnsi="Palatino Linotype" w:cs="Arial"/>
                <w:b/>
                <w:bCs/>
                <w:sz w:val="20"/>
                <w:szCs w:val="20"/>
              </w:rPr>
              <w:t>NCDEX, of which</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4,42,009</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32,561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31,298</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-3.9</w:t>
            </w:r>
          </w:p>
        </w:tc>
      </w:tr>
      <w:tr w:rsidR="00BB43D3" w:rsidRPr="00C21F81" w:rsidTr="0001273A">
        <w:trPr>
          <w:trHeight w:val="310"/>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Cs/>
                <w:i/>
                <w:sz w:val="20"/>
                <w:szCs w:val="20"/>
              </w:rPr>
            </w:pPr>
            <w:r w:rsidRPr="00C21F81">
              <w:rPr>
                <w:rFonts w:ascii="Palatino Linotype" w:hAnsi="Palatino Linotype" w:cs="Arial"/>
                <w:bCs/>
                <w:i/>
                <w:sz w:val="20"/>
                <w:szCs w:val="20"/>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 xml:space="preserve"> 4,41,967</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35,557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31,291</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-3.9</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Cs/>
                <w:i/>
                <w:sz w:val="20"/>
                <w:szCs w:val="20"/>
              </w:rPr>
            </w:pPr>
            <w:r w:rsidRPr="00C21F81">
              <w:rPr>
                <w:rFonts w:ascii="Palatino Linotype" w:hAnsi="Palatino Linotype" w:cs="Arial"/>
                <w:bCs/>
                <w:i/>
                <w:sz w:val="20"/>
                <w:szCs w:val="20"/>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 xml:space="preserve">42.2 </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3.6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tabs>
                <w:tab w:val="left" w:pos="252"/>
                <w:tab w:val="center" w:pos="551"/>
              </w:tabs>
              <w:jc w:val="right"/>
              <w:rPr>
                <w:rFonts w:ascii="Palatino Linotype" w:hAnsi="Palatino Linotype" w:cs="Arial"/>
                <w:bCs/>
                <w:sz w:val="20"/>
                <w:szCs w:val="20"/>
              </w:rPr>
            </w:pPr>
            <w:r w:rsidRPr="00C21F81">
              <w:rPr>
                <w:rFonts w:ascii="Palatino Linotype" w:hAnsi="Palatino Linotype" w:cs="Arial"/>
                <w:bCs/>
                <w:sz w:val="20"/>
                <w:szCs w:val="20"/>
              </w:rPr>
              <w:t>6.7</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Cs/>
                <w:sz w:val="20"/>
                <w:szCs w:val="20"/>
              </w:rPr>
              <w:t>83.7</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Cs/>
                <w:i/>
                <w:sz w:val="20"/>
                <w:szCs w:val="20"/>
              </w:rPr>
            </w:pPr>
            <w:r w:rsidRPr="00C21F81">
              <w:rPr>
                <w:rFonts w:ascii="Palatino Linotype" w:hAnsi="Palatino Linotype" w:cs="Arial"/>
                <w:b/>
                <w:bCs/>
                <w:sz w:val="20"/>
                <w:szCs w:val="20"/>
              </w:rPr>
              <w:t>NSE, of which</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
                <w:bCs/>
                <w:sz w:val="20"/>
                <w:szCs w:val="20"/>
              </w:rPr>
              <w:t xml:space="preserve">6,362 </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
                <w:bCs/>
                <w:sz w:val="20"/>
                <w:szCs w:val="20"/>
              </w:rPr>
              <w:t>1,871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tabs>
                <w:tab w:val="left" w:pos="252"/>
                <w:tab w:val="center" w:pos="551"/>
              </w:tabs>
              <w:jc w:val="right"/>
              <w:rPr>
                <w:rFonts w:ascii="Palatino Linotype" w:hAnsi="Palatino Linotype" w:cs="Arial"/>
                <w:bCs/>
                <w:sz w:val="20"/>
                <w:szCs w:val="20"/>
              </w:rPr>
            </w:pPr>
            <w:r w:rsidRPr="00C21F81">
              <w:rPr>
                <w:rFonts w:ascii="Palatino Linotype" w:hAnsi="Palatino Linotype" w:cs="Arial"/>
                <w:b/>
                <w:bCs/>
                <w:sz w:val="20"/>
                <w:szCs w:val="20"/>
              </w:rPr>
              <w:t>2,652</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
                <w:bCs/>
                <w:sz w:val="20"/>
                <w:szCs w:val="20"/>
              </w:rPr>
              <w:t>41.8</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Cs/>
                <w:i/>
                <w:sz w:val="20"/>
                <w:szCs w:val="20"/>
              </w:rPr>
            </w:pPr>
            <w:r w:rsidRPr="00C21F81">
              <w:rPr>
                <w:rFonts w:ascii="Palatino Linotype" w:hAnsi="Palatino Linotype" w:cs="Arial"/>
                <w:bCs/>
                <w:i/>
                <w:sz w:val="20"/>
                <w:szCs w:val="20"/>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6,362</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14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tabs>
                <w:tab w:val="left" w:pos="252"/>
                <w:tab w:val="center" w:pos="551"/>
              </w:tabs>
              <w:jc w:val="right"/>
              <w:rPr>
                <w:rFonts w:ascii="Palatino Linotype" w:hAnsi="Palatino Linotype" w:cs="Arial"/>
                <w:bCs/>
                <w:sz w:val="20"/>
                <w:szCs w:val="20"/>
              </w:rPr>
            </w:pPr>
            <w:r w:rsidRPr="00C21F81">
              <w:rPr>
                <w:rFonts w:ascii="Palatino Linotype" w:hAnsi="Palatino Linotype" w:cs="Arial"/>
                <w:sz w:val="20"/>
                <w:szCs w:val="20"/>
              </w:rPr>
              <w:t>19</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32.2</w:t>
            </w:r>
          </w:p>
        </w:tc>
      </w:tr>
      <w:tr w:rsidR="00BB43D3" w:rsidRPr="00C21F81" w:rsidTr="0001273A">
        <w:trPr>
          <w:trHeight w:val="308"/>
          <w:jc w:val="center"/>
        </w:trPr>
        <w:tc>
          <w:tcPr>
            <w:tcW w:w="3271" w:type="dxa"/>
            <w:tcBorders>
              <w:top w:val="nil"/>
              <w:left w:val="single" w:sz="4" w:space="0" w:color="auto"/>
              <w:bottom w:val="single" w:sz="4" w:space="0" w:color="auto"/>
              <w:right w:val="nil"/>
            </w:tcBorders>
            <w:shd w:val="clear" w:color="auto" w:fill="auto"/>
            <w:noWrap/>
          </w:tcPr>
          <w:p w:rsidR="00BB43D3" w:rsidRPr="00C21F81" w:rsidRDefault="00BB43D3" w:rsidP="0001273A">
            <w:pPr>
              <w:tabs>
                <w:tab w:val="left" w:pos="317"/>
              </w:tabs>
              <w:rPr>
                <w:rFonts w:ascii="Palatino Linotype" w:hAnsi="Palatino Linotype" w:cs="Arial"/>
                <w:bCs/>
                <w:i/>
                <w:sz w:val="20"/>
                <w:szCs w:val="20"/>
              </w:rPr>
            </w:pPr>
            <w:r w:rsidRPr="00C21F81">
              <w:rPr>
                <w:rFonts w:ascii="Palatino Linotype" w:hAnsi="Palatino Linotype" w:cs="Arial"/>
                <w:bCs/>
                <w:i/>
                <w:sz w:val="20"/>
                <w:szCs w:val="20"/>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b/>
                <w:bCs/>
                <w:sz w:val="20"/>
                <w:szCs w:val="20"/>
              </w:rPr>
              <w:t>-</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1,857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tabs>
                <w:tab w:val="left" w:pos="252"/>
                <w:tab w:val="center" w:pos="551"/>
              </w:tabs>
              <w:jc w:val="right"/>
              <w:rPr>
                <w:rFonts w:ascii="Palatino Linotype" w:hAnsi="Palatino Linotype" w:cs="Arial"/>
                <w:bCs/>
                <w:sz w:val="20"/>
                <w:szCs w:val="20"/>
              </w:rPr>
            </w:pPr>
            <w:r w:rsidRPr="00C21F81">
              <w:rPr>
                <w:rFonts w:ascii="Palatino Linotype" w:hAnsi="Palatino Linotype" w:cs="Arial"/>
                <w:sz w:val="20"/>
                <w:szCs w:val="20"/>
              </w:rPr>
              <w:t>2,633</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Cs/>
                <w:sz w:val="20"/>
                <w:szCs w:val="20"/>
              </w:rPr>
            </w:pPr>
            <w:r w:rsidRPr="00C21F81">
              <w:rPr>
                <w:rFonts w:ascii="Palatino Linotype" w:hAnsi="Palatino Linotype" w:cs="Arial"/>
                <w:sz w:val="20"/>
                <w:szCs w:val="20"/>
              </w:rPr>
              <w:t>41.8</w:t>
            </w:r>
          </w:p>
        </w:tc>
      </w:tr>
      <w:tr w:rsidR="00BB43D3" w:rsidRPr="00C21F81" w:rsidTr="0001273A">
        <w:trPr>
          <w:trHeight w:val="224"/>
          <w:jc w:val="center"/>
        </w:trPr>
        <w:tc>
          <w:tcPr>
            <w:tcW w:w="3271" w:type="dxa"/>
            <w:tcBorders>
              <w:top w:val="nil"/>
              <w:left w:val="single" w:sz="4" w:space="0" w:color="auto"/>
              <w:bottom w:val="single" w:sz="4" w:space="0" w:color="auto"/>
              <w:right w:val="single" w:sz="4" w:space="0" w:color="auto"/>
            </w:tcBorders>
            <w:shd w:val="clear" w:color="auto" w:fill="auto"/>
            <w:hideMark/>
          </w:tcPr>
          <w:p w:rsidR="00BB43D3" w:rsidRPr="00C21F81" w:rsidRDefault="00BB43D3" w:rsidP="0001273A">
            <w:pPr>
              <w:tabs>
                <w:tab w:val="left" w:pos="317"/>
              </w:tabs>
              <w:rPr>
                <w:rFonts w:ascii="Palatino Linotype" w:hAnsi="Palatino Linotype" w:cs="Arial"/>
                <w:b/>
                <w:bCs/>
                <w:sz w:val="20"/>
                <w:szCs w:val="20"/>
              </w:rPr>
            </w:pPr>
            <w:r w:rsidRPr="00C21F81">
              <w:rPr>
                <w:rFonts w:ascii="Palatino Linotype" w:hAnsi="Palatino Linotype" w:cs="Arial"/>
                <w:b/>
                <w:bCs/>
                <w:sz w:val="20"/>
                <w:szCs w:val="20"/>
              </w:rPr>
              <w:t>ICEX (Futures)</w:t>
            </w:r>
          </w:p>
        </w:tc>
        <w:tc>
          <w:tcPr>
            <w:tcW w:w="1128" w:type="dxa"/>
            <w:tcBorders>
              <w:top w:val="nil"/>
              <w:left w:val="nil"/>
              <w:bottom w:val="single" w:sz="4" w:space="0" w:color="auto"/>
              <w:right w:val="single" w:sz="4" w:space="0" w:color="auto"/>
            </w:tcBorders>
            <w:shd w:val="clear" w:color="auto" w:fill="auto"/>
            <w:noWrap/>
            <w:hideMark/>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 xml:space="preserve">40,511 </w:t>
            </w:r>
          </w:p>
        </w:tc>
        <w:tc>
          <w:tcPr>
            <w:tcW w:w="1236" w:type="dxa"/>
            <w:tcBorders>
              <w:top w:val="single" w:sz="4" w:space="0" w:color="auto"/>
              <w:left w:val="single" w:sz="4" w:space="0" w:color="auto"/>
              <w:bottom w:val="single" w:sz="4" w:space="0" w:color="auto"/>
              <w:right w:val="single" w:sz="4" w:space="0" w:color="auto"/>
            </w:tcBorders>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0.1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0.03</w:t>
            </w:r>
          </w:p>
        </w:tc>
        <w:tc>
          <w:tcPr>
            <w:tcW w:w="1263" w:type="dxa"/>
            <w:tcBorders>
              <w:top w:val="nil"/>
              <w:left w:val="nil"/>
              <w:bottom w:val="single" w:sz="4" w:space="0" w:color="auto"/>
              <w:right w:val="single" w:sz="4" w:space="0" w:color="auto"/>
            </w:tcBorders>
            <w:shd w:val="clear" w:color="auto" w:fill="auto"/>
            <w:noWrap/>
          </w:tcPr>
          <w:p w:rsidR="00BB43D3" w:rsidRPr="00C21F81" w:rsidRDefault="00BB43D3" w:rsidP="0001273A">
            <w:pPr>
              <w:jc w:val="right"/>
              <w:rPr>
                <w:rFonts w:ascii="Palatino Linotype" w:hAnsi="Palatino Linotype" w:cs="Arial"/>
                <w:b/>
                <w:bCs/>
                <w:sz w:val="20"/>
                <w:szCs w:val="20"/>
              </w:rPr>
            </w:pPr>
            <w:r w:rsidRPr="00C21F81">
              <w:rPr>
                <w:rFonts w:ascii="Palatino Linotype" w:hAnsi="Palatino Linotype" w:cs="Arial"/>
                <w:b/>
                <w:bCs/>
                <w:sz w:val="20"/>
                <w:szCs w:val="20"/>
              </w:rPr>
              <w:t>-73.9</w:t>
            </w:r>
          </w:p>
        </w:tc>
      </w:tr>
    </w:tbl>
    <w:p w:rsidR="00BB43D3" w:rsidRPr="006C6C07" w:rsidRDefault="00BB43D3" w:rsidP="00BB43D3">
      <w:pPr>
        <w:jc w:val="both"/>
        <w:rPr>
          <w:rFonts w:ascii="Palatino Linotype" w:hAnsi="Palatino Linotype" w:cs="Arial"/>
          <w:b/>
          <w:bCs/>
          <w:sz w:val="18"/>
          <w:szCs w:val="18"/>
        </w:rPr>
      </w:pPr>
    </w:p>
    <w:p w:rsidR="00BB43D3" w:rsidRPr="006C6C07" w:rsidRDefault="00BB43D3" w:rsidP="00BB43D3"/>
    <w:p w:rsidR="00BB43D3" w:rsidRDefault="00BB43D3" w:rsidP="00BB43D3">
      <w:pPr>
        <w:jc w:val="both"/>
        <w:rPr>
          <w:rFonts w:ascii="Palatino Linotype" w:hAnsi="Palatino Linotype" w:cs="Arial"/>
          <w:b/>
          <w:bCs/>
          <w:sz w:val="18"/>
          <w:szCs w:val="18"/>
        </w:rPr>
      </w:pPr>
      <w:r w:rsidRPr="006C6C07">
        <w:rPr>
          <w:rFonts w:ascii="Palatino Linotype" w:hAnsi="Palatino Linotype" w:cs="Arial"/>
          <w:b/>
          <w:bCs/>
          <w:sz w:val="18"/>
          <w:szCs w:val="18"/>
        </w:rPr>
        <w:t xml:space="preserve"> </w:t>
      </w: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Default="00BB43D3" w:rsidP="00BB43D3">
      <w:pPr>
        <w:jc w:val="both"/>
        <w:rPr>
          <w:rFonts w:ascii="Palatino Linotype" w:hAnsi="Palatino Linotype" w:cs="Arial"/>
          <w:b/>
          <w:bCs/>
          <w:sz w:val="18"/>
          <w:szCs w:val="18"/>
        </w:rPr>
      </w:pPr>
    </w:p>
    <w:p w:rsidR="00BB43D3" w:rsidRPr="006C6C07" w:rsidRDefault="00BB43D3" w:rsidP="00BB43D3">
      <w:pPr>
        <w:ind w:firstLine="720"/>
        <w:jc w:val="both"/>
        <w:rPr>
          <w:rFonts w:ascii="Palatino Linotype" w:hAnsi="Palatino Linotype" w:cs="Arial"/>
          <w:b/>
          <w:bCs/>
          <w:sz w:val="18"/>
          <w:szCs w:val="18"/>
        </w:rPr>
      </w:pPr>
      <w:r w:rsidRPr="006C6C07">
        <w:rPr>
          <w:rFonts w:ascii="Palatino Linotype" w:hAnsi="Palatino Linotype" w:cs="Arial"/>
          <w:b/>
          <w:bCs/>
          <w:sz w:val="18"/>
          <w:szCs w:val="18"/>
        </w:rPr>
        <w:t>Source: MCX, BSE, NCDEX,</w:t>
      </w:r>
      <w:r>
        <w:rPr>
          <w:rFonts w:ascii="Palatino Linotype" w:hAnsi="Palatino Linotype" w:cs="Arial"/>
          <w:b/>
          <w:bCs/>
          <w:sz w:val="18"/>
          <w:szCs w:val="18"/>
        </w:rPr>
        <w:t xml:space="preserve"> </w:t>
      </w:r>
      <w:r w:rsidRPr="006C6C07">
        <w:rPr>
          <w:rFonts w:ascii="Palatino Linotype" w:hAnsi="Palatino Linotype" w:cs="Arial"/>
          <w:b/>
          <w:bCs/>
          <w:sz w:val="18"/>
          <w:szCs w:val="18"/>
        </w:rPr>
        <w:t>NSE, ICEX.</w:t>
      </w:r>
    </w:p>
    <w:p w:rsidR="00BB43D3" w:rsidRPr="006C6C07" w:rsidRDefault="00BB43D3" w:rsidP="00BB43D3">
      <w:pPr>
        <w:jc w:val="both"/>
        <w:rPr>
          <w:rFonts w:ascii="Palatino Linotype" w:hAnsi="Palatino Linotype" w:cs="Arial"/>
          <w:b/>
          <w:bCs/>
          <w:sz w:val="18"/>
          <w:szCs w:val="18"/>
        </w:rPr>
      </w:pPr>
    </w:p>
    <w:p w:rsidR="00BB43D3" w:rsidRPr="006C6C07" w:rsidRDefault="00BB43D3" w:rsidP="00BB43D3">
      <w:pPr>
        <w:ind w:left="-284"/>
        <w:jc w:val="both"/>
        <w:rPr>
          <w:rFonts w:ascii="Palatino Linotype" w:hAnsi="Palatino Linotype" w:cs="Arial"/>
          <w:bCs/>
        </w:rPr>
      </w:pPr>
      <w:r w:rsidRPr="006C6C07">
        <w:rPr>
          <w:rFonts w:ascii="Palatino Linotype" w:hAnsi="Palatino Linotype" w:cs="Arial"/>
          <w:b/>
          <w:bCs/>
        </w:rPr>
        <w:t>B.       Turnover</w:t>
      </w:r>
    </w:p>
    <w:p w:rsidR="00BB43D3" w:rsidRPr="00F80760"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6C6C07">
        <w:rPr>
          <w:rFonts w:ascii="Palatino Linotype" w:hAnsi="Palatino Linotype" w:cs="Arial"/>
          <w:bCs/>
          <w:sz w:val="22"/>
          <w:szCs w:val="22"/>
        </w:rPr>
        <w:t xml:space="preserve">During November 2020, pan- India turnover of the commodity derivatives increased by 6.0 per cent to </w:t>
      </w:r>
      <w:r w:rsidRPr="006C6C07">
        <w:rPr>
          <w:rFonts w:ascii="Tahoma" w:hAnsi="Tahoma" w:cs="Tahoma"/>
          <w:bCs/>
          <w:sz w:val="22"/>
          <w:szCs w:val="22"/>
        </w:rPr>
        <w:t>₹</w:t>
      </w:r>
      <w:r w:rsidRPr="006C6C07">
        <w:rPr>
          <w:rFonts w:ascii="Palatino Linotype" w:hAnsi="Palatino Linotype"/>
          <w:bCs/>
          <w:sz w:val="22"/>
          <w:szCs w:val="22"/>
        </w:rPr>
        <w:t>8,47,</w:t>
      </w:r>
      <w:r w:rsidRPr="00F80760">
        <w:rPr>
          <w:rFonts w:ascii="Palatino Linotype" w:eastAsia="Palatino Linotype" w:hAnsi="Palatino Linotype" w:cs="Palatino Linotype"/>
          <w:sz w:val="22"/>
          <w:szCs w:val="22"/>
        </w:rPr>
        <w:t xml:space="preserve">611 crore driven by increase in turnover at MCX and NSE. However, turnover at NCDEX, ICEX and BSE have decreased during the month.  The agricultural segment contributed 4.9 per cent to the total turnover, while non-agricultural segment accounted for 95.1 per cent. </w:t>
      </w:r>
    </w:p>
    <w:p w:rsidR="00BB43D3" w:rsidRPr="00F80760"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80760">
        <w:rPr>
          <w:rFonts w:ascii="Palatino Linotype" w:eastAsia="Palatino Linotype" w:hAnsi="Palatino Linotype" w:cs="Palatino Linotype"/>
          <w:sz w:val="22"/>
          <w:szCs w:val="22"/>
        </w:rPr>
        <w:t xml:space="preserve">The total turnover at MCX increased by 7.2 per cent to </w:t>
      </w:r>
      <w:r w:rsidRPr="00F80760">
        <w:rPr>
          <w:rFonts w:ascii="Tahoma" w:eastAsia="Palatino Linotype" w:hAnsi="Tahoma" w:cs="Tahoma"/>
          <w:sz w:val="22"/>
          <w:szCs w:val="22"/>
        </w:rPr>
        <w:t>₹</w:t>
      </w:r>
      <w:r w:rsidRPr="00F80760">
        <w:rPr>
          <w:rFonts w:ascii="Palatino Linotype" w:eastAsia="Palatino Linotype" w:hAnsi="Palatino Linotype" w:cs="Palatino Linotype"/>
          <w:sz w:val="22"/>
          <w:szCs w:val="22"/>
        </w:rPr>
        <w:t xml:space="preserve">7,59,530 crore during November 2020 driven by increase in traded value of bullion, agri. and energy futures. However, turnover in metal futures decreased by 4.7 per cent. The turnover in iCOMDEX bullion and iCOMDEX metal index futures increased by 15.0 per cent and 54.3 per cent to </w:t>
      </w:r>
      <w:r w:rsidRPr="00F80760">
        <w:rPr>
          <w:rFonts w:ascii="Tahoma" w:eastAsia="Palatino Linotype" w:hAnsi="Tahoma" w:cs="Tahoma"/>
          <w:sz w:val="22"/>
          <w:szCs w:val="22"/>
        </w:rPr>
        <w:t>₹</w:t>
      </w:r>
      <w:r w:rsidRPr="00F80760">
        <w:rPr>
          <w:rFonts w:ascii="Palatino Linotype" w:eastAsia="Palatino Linotype" w:hAnsi="Palatino Linotype" w:cs="Palatino Linotype"/>
          <w:sz w:val="22"/>
          <w:szCs w:val="22"/>
        </w:rPr>
        <w:t xml:space="preserve"> 5,643 crore and </w:t>
      </w:r>
      <w:r w:rsidRPr="00F80760">
        <w:rPr>
          <w:rFonts w:ascii="Tahoma" w:eastAsia="Palatino Linotype" w:hAnsi="Tahoma" w:cs="Tahoma"/>
          <w:sz w:val="22"/>
          <w:szCs w:val="22"/>
        </w:rPr>
        <w:t>₹</w:t>
      </w:r>
      <w:r w:rsidRPr="00F80760">
        <w:rPr>
          <w:rFonts w:ascii="Palatino Linotype" w:eastAsia="Palatino Linotype" w:hAnsi="Palatino Linotype" w:cs="Palatino Linotype"/>
          <w:sz w:val="22"/>
          <w:szCs w:val="22"/>
        </w:rPr>
        <w:t xml:space="preserve"> 1,016 crore respectively during the month.</w:t>
      </w:r>
    </w:p>
    <w:p w:rsidR="00BB43D3" w:rsidRPr="00F80760" w:rsidRDefault="00BB43D3" w:rsidP="00BB43D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80760">
        <w:rPr>
          <w:rFonts w:ascii="Palatino Linotype" w:eastAsia="Palatino Linotype" w:hAnsi="Palatino Linotype" w:cs="Palatino Linotype"/>
          <w:sz w:val="22"/>
          <w:szCs w:val="22"/>
        </w:rPr>
        <w:t>The notional turnover of options segment at MCX increased significantly by 167.9 per cent during the month driven by increase in bullion and energy segments. The options contracts contributed 3.5 per cent to the total turnover at MCX.</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hAnsi="Palatino Linotype" w:cs="Arial"/>
          <w:bCs/>
          <w:sz w:val="22"/>
          <w:szCs w:val="22"/>
        </w:rPr>
      </w:pPr>
      <w:r w:rsidRPr="00F80760">
        <w:rPr>
          <w:rFonts w:ascii="Palatino Linotype" w:eastAsia="Palatino Linotype" w:hAnsi="Palatino Linotype" w:cs="Palatino Linotype"/>
          <w:sz w:val="22"/>
          <w:szCs w:val="22"/>
        </w:rPr>
        <w:t>The total turnover</w:t>
      </w:r>
      <w:r w:rsidRPr="006C6C07">
        <w:rPr>
          <w:rFonts w:ascii="Palatino Linotype" w:hAnsi="Palatino Linotype" w:cs="Arial"/>
          <w:bCs/>
          <w:sz w:val="22"/>
          <w:szCs w:val="22"/>
        </w:rPr>
        <w:t xml:space="preserve"> at BSE decreased by 4.0 per cent to </w:t>
      </w:r>
      <w:r w:rsidRPr="006C6C07">
        <w:rPr>
          <w:rFonts w:ascii="Tahoma" w:hAnsi="Tahoma" w:cs="Tahoma"/>
          <w:bCs/>
          <w:sz w:val="22"/>
          <w:szCs w:val="22"/>
        </w:rPr>
        <w:t>₹</w:t>
      </w:r>
      <w:r w:rsidRPr="006C6C07">
        <w:rPr>
          <w:rFonts w:ascii="Palatino Linotype" w:hAnsi="Palatino Linotype" w:cs="Arial"/>
          <w:bCs/>
          <w:sz w:val="22"/>
          <w:szCs w:val="22"/>
        </w:rPr>
        <w:t xml:space="preserve"> 54,131 crore  driven by the decline in turnover in bullion options by 3.9 per cent. In the futures segment, bullion and agri. contracts recorded a total turnover of </w:t>
      </w:r>
      <w:r w:rsidRPr="006C6C07">
        <w:rPr>
          <w:rFonts w:ascii="Tahoma" w:hAnsi="Tahoma" w:cs="Tahoma"/>
          <w:bCs/>
          <w:sz w:val="22"/>
          <w:szCs w:val="22"/>
        </w:rPr>
        <w:t>₹</w:t>
      </w:r>
      <w:r w:rsidRPr="006C6C07">
        <w:rPr>
          <w:rFonts w:ascii="Palatino Linotype" w:hAnsi="Palatino Linotype" w:cs="Arial"/>
          <w:bCs/>
          <w:sz w:val="22"/>
          <w:szCs w:val="22"/>
        </w:rPr>
        <w:t xml:space="preserve">11 crore and  </w:t>
      </w:r>
      <w:r w:rsidRPr="006C6C07">
        <w:rPr>
          <w:rFonts w:ascii="Tahoma" w:hAnsi="Tahoma" w:cs="Tahoma"/>
          <w:bCs/>
          <w:sz w:val="22"/>
          <w:szCs w:val="22"/>
        </w:rPr>
        <w:t>₹</w:t>
      </w:r>
      <w:r w:rsidRPr="006C6C07">
        <w:rPr>
          <w:rFonts w:ascii="Palatino Linotype" w:hAnsi="Palatino Linotype" w:cs="Arial"/>
          <w:bCs/>
          <w:sz w:val="22"/>
          <w:szCs w:val="22"/>
        </w:rPr>
        <w:t xml:space="preserve"> 166 crore respectively.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hAnsi="Palatino Linotype" w:cs="Arial"/>
          <w:bCs/>
        </w:rPr>
      </w:pPr>
      <w:r w:rsidRPr="006C6C07">
        <w:rPr>
          <w:rFonts w:ascii="Palatino Linotype" w:hAnsi="Palatino Linotype" w:cs="Arial"/>
          <w:bCs/>
        </w:rPr>
        <w:t xml:space="preserve"> </w:t>
      </w:r>
      <w:r w:rsidRPr="006C6C07">
        <w:rPr>
          <w:rFonts w:ascii="Palatino Linotype" w:hAnsi="Palatino Linotype" w:cs="Arial"/>
          <w:bCs/>
          <w:sz w:val="22"/>
          <w:szCs w:val="22"/>
        </w:rPr>
        <w:t xml:space="preserve">During the month, the total turnover at NCDEX decreased by 3.9 per cent to </w:t>
      </w:r>
      <w:r w:rsidRPr="006C6C07">
        <w:rPr>
          <w:rFonts w:ascii="Tahoma" w:hAnsi="Tahoma" w:cs="Tahoma"/>
          <w:bCs/>
          <w:sz w:val="22"/>
          <w:szCs w:val="22"/>
        </w:rPr>
        <w:t>₹</w:t>
      </w:r>
      <w:r w:rsidRPr="006C6C07">
        <w:rPr>
          <w:rFonts w:ascii="Palatino Linotype" w:hAnsi="Palatino Linotype" w:cs="Arial"/>
          <w:bCs/>
          <w:sz w:val="22"/>
          <w:szCs w:val="22"/>
        </w:rPr>
        <w:t xml:space="preserve">31,298 crore, due to decrease in traded value of six out of total 14 traded commodities. Turnover in Agridex futures indices decreased to </w:t>
      </w:r>
      <w:r w:rsidRPr="006C6C07">
        <w:rPr>
          <w:rFonts w:ascii="Tahoma" w:hAnsi="Tahoma" w:cs="Tahoma"/>
          <w:bCs/>
          <w:sz w:val="22"/>
          <w:szCs w:val="22"/>
        </w:rPr>
        <w:t>₹</w:t>
      </w:r>
      <w:r w:rsidRPr="006C6C07">
        <w:rPr>
          <w:rFonts w:ascii="Palatino Linotype" w:hAnsi="Palatino Linotype" w:cs="Arial"/>
          <w:bCs/>
          <w:sz w:val="22"/>
          <w:szCs w:val="22"/>
        </w:rPr>
        <w:t xml:space="preserve">15 crore, a decline of 36.6 per cent during </w:t>
      </w:r>
      <w:r>
        <w:rPr>
          <w:rFonts w:ascii="Palatino Linotype" w:hAnsi="Palatino Linotype" w:cs="Arial"/>
          <w:bCs/>
          <w:sz w:val="22"/>
          <w:szCs w:val="22"/>
        </w:rPr>
        <w:t>November</w:t>
      </w:r>
      <w:r w:rsidRPr="006C6C07">
        <w:rPr>
          <w:rFonts w:ascii="Palatino Linotype" w:hAnsi="Palatino Linotype" w:cs="Arial"/>
          <w:bCs/>
          <w:sz w:val="22"/>
          <w:szCs w:val="22"/>
        </w:rPr>
        <w:t xml:space="preserve"> 2020.</w:t>
      </w:r>
    </w:p>
    <w:p w:rsidR="00BB43D3" w:rsidRPr="0037749F" w:rsidRDefault="00BB43D3" w:rsidP="00BB43D3">
      <w:pPr>
        <w:numPr>
          <w:ilvl w:val="0"/>
          <w:numId w:val="1"/>
        </w:numPr>
        <w:pBdr>
          <w:top w:val="nil"/>
          <w:left w:val="nil"/>
          <w:bottom w:val="nil"/>
          <w:right w:val="nil"/>
          <w:between w:val="nil"/>
        </w:pBdr>
        <w:spacing w:line="276" w:lineRule="auto"/>
        <w:jc w:val="both"/>
        <w:rPr>
          <w:rFonts w:ascii="Palatino Linotype" w:hAnsi="Palatino Linotype" w:cs="Arial"/>
          <w:bCs/>
          <w:sz w:val="22"/>
          <w:szCs w:val="22"/>
        </w:rPr>
      </w:pPr>
      <w:r w:rsidRPr="006C6C07">
        <w:rPr>
          <w:rFonts w:ascii="Palatino Linotype" w:hAnsi="Palatino Linotype" w:cs="Arial"/>
          <w:bCs/>
          <w:sz w:val="22"/>
          <w:szCs w:val="22"/>
        </w:rPr>
        <w:t xml:space="preserve">The total </w:t>
      </w:r>
      <w:r w:rsidRPr="0037749F">
        <w:rPr>
          <w:rFonts w:ascii="Palatino Linotype" w:hAnsi="Palatino Linotype" w:cs="Arial"/>
          <w:bCs/>
          <w:sz w:val="22"/>
          <w:szCs w:val="22"/>
        </w:rPr>
        <w:t xml:space="preserve">turnover at NSE increased by 41.8 per cent to </w:t>
      </w:r>
      <w:r w:rsidRPr="0037749F">
        <w:rPr>
          <w:rFonts w:ascii="Tahoma" w:hAnsi="Tahoma" w:cs="Tahoma"/>
          <w:bCs/>
          <w:sz w:val="22"/>
          <w:szCs w:val="22"/>
        </w:rPr>
        <w:t>₹</w:t>
      </w:r>
      <w:r w:rsidRPr="0037749F">
        <w:rPr>
          <w:rFonts w:ascii="Palatino Linotype" w:hAnsi="Palatino Linotype" w:cs="Arial"/>
          <w:bCs/>
          <w:sz w:val="22"/>
          <w:szCs w:val="22"/>
        </w:rPr>
        <w:t xml:space="preserve">2,652 crore during the month on account of increase in turnover of bullion options and futures by 41.8 per cent and 32.2 per cent respectively. </w:t>
      </w:r>
    </w:p>
    <w:p w:rsidR="00BB43D3" w:rsidRPr="0037749F" w:rsidRDefault="00BB43D3" w:rsidP="00BB43D3">
      <w:pPr>
        <w:numPr>
          <w:ilvl w:val="0"/>
          <w:numId w:val="1"/>
        </w:numPr>
        <w:pBdr>
          <w:top w:val="nil"/>
          <w:left w:val="nil"/>
          <w:bottom w:val="nil"/>
          <w:right w:val="nil"/>
          <w:between w:val="nil"/>
        </w:pBdr>
        <w:spacing w:line="276" w:lineRule="auto"/>
        <w:jc w:val="both"/>
        <w:rPr>
          <w:rFonts w:ascii="Palatino Linotype" w:hAnsi="Palatino Linotype" w:cs="Arial"/>
          <w:bCs/>
          <w:sz w:val="22"/>
          <w:szCs w:val="22"/>
        </w:rPr>
      </w:pPr>
      <w:r w:rsidRPr="0037749F">
        <w:rPr>
          <w:rFonts w:ascii="Palatino Linotype" w:hAnsi="Palatino Linotype" w:cs="Arial"/>
          <w:bCs/>
          <w:sz w:val="22"/>
          <w:szCs w:val="22"/>
        </w:rPr>
        <w:t xml:space="preserve">In November 2020, turnover at ICEX decreased significantly by 73.9 per cent to </w:t>
      </w:r>
      <w:r w:rsidRPr="0037749F">
        <w:rPr>
          <w:rFonts w:ascii="Tahoma" w:hAnsi="Tahoma" w:cs="Tahoma"/>
          <w:bCs/>
          <w:sz w:val="22"/>
          <w:szCs w:val="22"/>
        </w:rPr>
        <w:t>₹</w:t>
      </w:r>
      <w:r w:rsidRPr="0037749F">
        <w:rPr>
          <w:rFonts w:ascii="Palatino Linotype" w:hAnsi="Palatino Linotype" w:cs="Arial"/>
          <w:bCs/>
          <w:sz w:val="22"/>
          <w:szCs w:val="22"/>
        </w:rPr>
        <w:t xml:space="preserve">0.03 crore recorded by gems and stones futures. </w:t>
      </w:r>
    </w:p>
    <w:p w:rsidR="00BB43D3" w:rsidRPr="006C6C07" w:rsidRDefault="00BB43D3" w:rsidP="00BB43D3">
      <w:pPr>
        <w:numPr>
          <w:ilvl w:val="0"/>
          <w:numId w:val="1"/>
        </w:numPr>
        <w:pBdr>
          <w:top w:val="nil"/>
          <w:left w:val="nil"/>
          <w:bottom w:val="nil"/>
          <w:right w:val="nil"/>
          <w:between w:val="nil"/>
        </w:pBdr>
        <w:spacing w:line="276" w:lineRule="auto"/>
        <w:jc w:val="both"/>
        <w:rPr>
          <w:rFonts w:ascii="Palatino Linotype" w:hAnsi="Palatino Linotype" w:cs="Arial"/>
          <w:bCs/>
          <w:sz w:val="22"/>
          <w:szCs w:val="22"/>
        </w:rPr>
      </w:pPr>
      <w:r w:rsidRPr="0037749F">
        <w:rPr>
          <w:rFonts w:ascii="Palatino Linotype" w:hAnsi="Palatino Linotype" w:cs="Arial"/>
          <w:bCs/>
          <w:sz w:val="22"/>
          <w:szCs w:val="22"/>
        </w:rPr>
        <w:t>The turnover of agricultural and non-agricultural commodities at exchanges is shown in Figures 15, 16 and 17 and</w:t>
      </w:r>
      <w:r w:rsidRPr="006C6C07">
        <w:rPr>
          <w:rFonts w:ascii="Palatino Linotype" w:hAnsi="Palatino Linotype" w:cs="Arial"/>
          <w:bCs/>
          <w:sz w:val="22"/>
          <w:szCs w:val="22"/>
        </w:rPr>
        <w:t xml:space="preserve"> the details are given in Tables 65 to 69.</w:t>
      </w:r>
    </w:p>
    <w:p w:rsidR="00BB43D3" w:rsidRPr="006C6C07" w:rsidRDefault="00BB43D3" w:rsidP="00BB43D3">
      <w:pPr>
        <w:jc w:val="both"/>
        <w:rPr>
          <w:rFonts w:ascii="Palatino Linotype" w:hAnsi="Palatino Linotype" w:cs="Arial"/>
          <w:bCs/>
        </w:rPr>
      </w:pPr>
    </w:p>
    <w:p w:rsidR="00BB43D3" w:rsidRPr="006C6C07" w:rsidRDefault="00BB43D3" w:rsidP="00BB43D3">
      <w:pPr>
        <w:pStyle w:val="ListParagraph"/>
        <w:spacing w:after="0" w:line="240" w:lineRule="auto"/>
        <w:jc w:val="center"/>
        <w:rPr>
          <w:rFonts w:ascii="Palatino Linotype" w:hAnsi="Palatino Linotype" w:cs="Arial"/>
          <w:b/>
          <w:bCs/>
          <w:sz w:val="22"/>
          <w:szCs w:val="22"/>
        </w:rPr>
      </w:pPr>
      <w:r w:rsidRPr="006C6C07">
        <w:rPr>
          <w:rFonts w:ascii="Palatino Linotype" w:hAnsi="Palatino Linotype" w:cs="Arial"/>
          <w:b/>
          <w:bCs/>
          <w:sz w:val="22"/>
          <w:szCs w:val="22"/>
        </w:rPr>
        <w:t xml:space="preserve">Figure 15: Trends in Turnover of Agricultural Commodity Derivatives </w:t>
      </w:r>
    </w:p>
    <w:p w:rsidR="00BB43D3" w:rsidRPr="00C21F81" w:rsidRDefault="00BB43D3" w:rsidP="00BB43D3">
      <w:pPr>
        <w:pStyle w:val="ListParagraph"/>
        <w:spacing w:after="0" w:line="240" w:lineRule="auto"/>
        <w:ind w:left="0"/>
        <w:jc w:val="center"/>
        <w:rPr>
          <w:rFonts w:ascii="Palatino Linotype" w:hAnsi="Palatino Linotype" w:cs="Arial"/>
          <w:b/>
          <w:bCs/>
          <w:color w:val="2E74B5"/>
          <w:sz w:val="22"/>
          <w:szCs w:val="22"/>
        </w:rPr>
      </w:pPr>
      <w:r w:rsidRPr="00C21F81">
        <w:rPr>
          <w:rFonts w:ascii="Palatino Linotype" w:hAnsi="Palatino Linotype"/>
          <w:noProof/>
          <w:lang w:val="en-IN" w:eastAsia="en-IN" w:bidi="hi-IN"/>
        </w:rPr>
        <w:drawing>
          <wp:inline distT="0" distB="0" distL="0" distR="0">
            <wp:extent cx="5943600" cy="2865755"/>
            <wp:effectExtent l="0" t="0" r="0" b="10795"/>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43D3" w:rsidRPr="00C21F81" w:rsidRDefault="00BB43D3" w:rsidP="00BB43D3">
      <w:pPr>
        <w:rPr>
          <w:rFonts w:ascii="Palatino Linotype" w:hAnsi="Palatino Linotype"/>
          <w:b/>
          <w:color w:val="0D0D0D"/>
          <w:sz w:val="18"/>
          <w:szCs w:val="18"/>
        </w:rPr>
      </w:pPr>
      <w:r w:rsidRPr="00C21F81">
        <w:rPr>
          <w:rFonts w:ascii="Palatino Linotype" w:hAnsi="Palatino Linotype"/>
          <w:b/>
          <w:color w:val="0D0D0D"/>
          <w:sz w:val="18"/>
          <w:szCs w:val="18"/>
        </w:rPr>
        <w:t>Source: MCX, NCDEX, BSE &amp; ICEX</w:t>
      </w:r>
    </w:p>
    <w:p w:rsidR="00BB43D3" w:rsidRPr="006C6C07" w:rsidRDefault="00BB43D3" w:rsidP="00BB43D3">
      <w:pPr>
        <w:rPr>
          <w:rFonts w:ascii="Palatino Linotype" w:hAnsi="Palatino Linotype"/>
          <w:b/>
          <w:color w:val="365F91"/>
          <w:sz w:val="22"/>
          <w:szCs w:val="22"/>
        </w:rPr>
      </w:pPr>
    </w:p>
    <w:p w:rsidR="00BB43D3" w:rsidRPr="0037749F" w:rsidRDefault="00BB43D3" w:rsidP="00BB43D3">
      <w:pPr>
        <w:pStyle w:val="ListParagraph"/>
        <w:spacing w:after="0" w:line="240" w:lineRule="auto"/>
        <w:jc w:val="center"/>
        <w:rPr>
          <w:rFonts w:ascii="Palatino Linotype" w:hAnsi="Palatino Linotype" w:cs="Arial"/>
          <w:b/>
          <w:bCs/>
          <w:sz w:val="22"/>
          <w:szCs w:val="22"/>
        </w:rPr>
      </w:pPr>
      <w:r w:rsidRPr="0037749F">
        <w:rPr>
          <w:rFonts w:ascii="Palatino Linotype" w:hAnsi="Palatino Linotype" w:cs="Arial"/>
          <w:b/>
          <w:bCs/>
          <w:sz w:val="22"/>
          <w:szCs w:val="22"/>
        </w:rPr>
        <w:t xml:space="preserve">   Figure 16: Trends in Turnover of Non-Agricultural Futures contracts </w:t>
      </w:r>
    </w:p>
    <w:p w:rsidR="00BB43D3" w:rsidRPr="006C6C07" w:rsidRDefault="00BB43D3" w:rsidP="00BB43D3">
      <w:pPr>
        <w:pStyle w:val="ListParagraph"/>
        <w:spacing w:after="0" w:line="240" w:lineRule="auto"/>
        <w:ind w:left="0"/>
        <w:jc w:val="center"/>
        <w:rPr>
          <w:rFonts w:ascii="Palatino Linotype" w:hAnsi="Palatino Linotype" w:cs="Arial"/>
          <w:b/>
          <w:bCs/>
          <w:sz w:val="22"/>
          <w:szCs w:val="22"/>
        </w:rPr>
      </w:pPr>
      <w:r w:rsidRPr="00C21F81">
        <w:rPr>
          <w:rFonts w:ascii="Palatino Linotype" w:hAnsi="Palatino Linotype"/>
          <w:noProof/>
          <w:lang w:val="en-IN" w:eastAsia="en-IN" w:bidi="hi-IN"/>
        </w:rPr>
        <w:drawing>
          <wp:inline distT="0" distB="0" distL="0" distR="0">
            <wp:extent cx="5943600" cy="3057525"/>
            <wp:effectExtent l="0" t="0" r="0" b="9525"/>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B43D3" w:rsidRPr="00C21F81" w:rsidRDefault="00BB43D3" w:rsidP="00BB43D3">
      <w:pPr>
        <w:spacing w:line="259" w:lineRule="auto"/>
        <w:rPr>
          <w:rFonts w:ascii="Palatino Linotype" w:hAnsi="Palatino Linotype"/>
          <w:b/>
          <w:color w:val="0D0D0D"/>
          <w:sz w:val="18"/>
          <w:szCs w:val="18"/>
        </w:rPr>
      </w:pPr>
      <w:r w:rsidRPr="00C21F81">
        <w:rPr>
          <w:rFonts w:ascii="Palatino Linotype" w:hAnsi="Palatino Linotype"/>
          <w:b/>
          <w:color w:val="0D0D0D"/>
          <w:sz w:val="18"/>
          <w:szCs w:val="18"/>
        </w:rPr>
        <w:t xml:space="preserve">  Source: MCX, ICEX, BSE &amp; NSE. </w:t>
      </w:r>
    </w:p>
    <w:p w:rsidR="00BB43D3" w:rsidRPr="006C6C07" w:rsidRDefault="00BB43D3" w:rsidP="00BB43D3">
      <w:pPr>
        <w:spacing w:line="259" w:lineRule="auto"/>
        <w:rPr>
          <w:rFonts w:ascii="Palatino Linotype" w:hAnsi="Palatino Linotype" w:cs="Arial"/>
          <w:bCs/>
        </w:rPr>
      </w:pPr>
      <w:r w:rsidRPr="006C6C07">
        <w:rPr>
          <w:rFonts w:ascii="Palatino Linotype" w:hAnsi="Palatino Linotype" w:cs="Arial"/>
          <w:bCs/>
        </w:rPr>
        <w:t xml:space="preserve">                                                                  </w:t>
      </w:r>
    </w:p>
    <w:p w:rsidR="00BB43D3" w:rsidRDefault="00BB43D3" w:rsidP="00BB43D3">
      <w:pPr>
        <w:rPr>
          <w:rFonts w:ascii="Palatino Linotype" w:hAnsi="Palatino Linotype"/>
          <w:b/>
          <w:sz w:val="22"/>
          <w:szCs w:val="22"/>
          <w:lang w:val="en-US"/>
        </w:rPr>
      </w:pPr>
      <w:r>
        <w:rPr>
          <w:rFonts w:ascii="Palatino Linotype" w:hAnsi="Palatino Linotype"/>
          <w:b/>
          <w:sz w:val="22"/>
          <w:szCs w:val="22"/>
        </w:rPr>
        <w:br w:type="page"/>
      </w:r>
    </w:p>
    <w:p w:rsidR="00BB43D3" w:rsidRPr="0037749F" w:rsidRDefault="00BB43D3" w:rsidP="00BB43D3">
      <w:pPr>
        <w:pStyle w:val="ListParagraph"/>
        <w:spacing w:after="0" w:line="240" w:lineRule="auto"/>
        <w:jc w:val="center"/>
        <w:rPr>
          <w:rFonts w:ascii="Palatino Linotype" w:hAnsi="Palatino Linotype" w:cs="Arial"/>
          <w:b/>
          <w:bCs/>
          <w:sz w:val="22"/>
          <w:szCs w:val="22"/>
        </w:rPr>
      </w:pPr>
      <w:r w:rsidRPr="0037749F">
        <w:rPr>
          <w:rFonts w:ascii="Palatino Linotype" w:hAnsi="Palatino Linotype" w:cs="Arial"/>
          <w:b/>
          <w:bCs/>
          <w:sz w:val="22"/>
          <w:szCs w:val="22"/>
        </w:rPr>
        <w:t xml:space="preserve">Figure 17: Trends in Turnover of Non-Agricultural Options contracts </w:t>
      </w:r>
    </w:p>
    <w:p w:rsidR="00BB43D3" w:rsidRPr="006C6C07" w:rsidRDefault="00BB43D3" w:rsidP="00BB43D3">
      <w:pPr>
        <w:pStyle w:val="ListParagraph"/>
        <w:spacing w:after="0" w:line="240" w:lineRule="auto"/>
        <w:ind w:left="0"/>
        <w:jc w:val="center"/>
        <w:rPr>
          <w:rFonts w:ascii="Palatino Linotype" w:hAnsi="Palatino Linotype" w:cs="Arial"/>
          <w:b/>
          <w:bCs/>
          <w:sz w:val="22"/>
          <w:szCs w:val="22"/>
        </w:rPr>
      </w:pPr>
      <w:r w:rsidRPr="00C21F81">
        <w:rPr>
          <w:rFonts w:ascii="Palatino Linotype" w:hAnsi="Palatino Linotype"/>
          <w:noProof/>
          <w:lang w:val="en-IN" w:eastAsia="en-IN" w:bidi="hi-IN"/>
        </w:rPr>
        <w:drawing>
          <wp:inline distT="0" distB="0" distL="0" distR="0">
            <wp:extent cx="5943600" cy="2825750"/>
            <wp:effectExtent l="0" t="0" r="0" b="1270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B43D3" w:rsidRPr="006C6C07" w:rsidRDefault="00BB43D3" w:rsidP="00BB43D3">
      <w:pPr>
        <w:spacing w:line="259" w:lineRule="auto"/>
        <w:rPr>
          <w:rFonts w:ascii="Palatino Linotype" w:hAnsi="Palatino Linotype" w:cs="Arial"/>
          <w:bCs/>
        </w:rPr>
      </w:pPr>
      <w:r w:rsidRPr="00C21F81">
        <w:rPr>
          <w:rFonts w:ascii="Palatino Linotype" w:hAnsi="Palatino Linotype"/>
          <w:b/>
          <w:color w:val="0D0D0D"/>
          <w:sz w:val="18"/>
          <w:szCs w:val="18"/>
        </w:rPr>
        <w:t>Source: MCX, BSE &amp; NSE.</w:t>
      </w:r>
    </w:p>
    <w:p w:rsidR="00396049" w:rsidRDefault="00396049" w:rsidP="00FD1851">
      <w:pPr>
        <w:rPr>
          <w:rFonts w:ascii="Garamond" w:eastAsia="Garamond" w:hAnsi="Garamond" w:cs="Garamond"/>
          <w:b/>
          <w:color w:val="0D0D0D"/>
          <w:sz w:val="18"/>
          <w:szCs w:val="18"/>
        </w:rPr>
      </w:pPr>
    </w:p>
    <w:p w:rsidR="00396049" w:rsidRDefault="00396049">
      <w:pPr>
        <w:rPr>
          <w:rFonts w:ascii="Garamond" w:hAnsi="Garamond"/>
          <w:b/>
          <w:color w:val="0D0D0D" w:themeColor="text1" w:themeTint="F2"/>
          <w:sz w:val="18"/>
          <w:szCs w:val="18"/>
        </w:rPr>
      </w:pPr>
      <w:r>
        <w:rPr>
          <w:rFonts w:ascii="Garamond" w:hAnsi="Garamond"/>
          <w:b/>
          <w:color w:val="0D0D0D" w:themeColor="text1" w:themeTint="F2"/>
          <w:sz w:val="18"/>
          <w:szCs w:val="18"/>
        </w:rPr>
        <w:br w:type="page"/>
      </w:r>
    </w:p>
    <w:p w:rsidR="002576F1" w:rsidRDefault="002576F1" w:rsidP="00146D0E">
      <w:pPr>
        <w:spacing w:after="160" w:line="259" w:lineRule="auto"/>
        <w:rPr>
          <w:rFonts w:ascii="Garamond" w:hAnsi="Garamond"/>
          <w:b/>
          <w:color w:val="0D0D0D" w:themeColor="text1" w:themeTint="F2"/>
          <w:sz w:val="18"/>
          <w:szCs w:val="18"/>
        </w:rPr>
      </w:pPr>
    </w:p>
    <w:p w:rsidR="00D46528" w:rsidRPr="00D46528" w:rsidRDefault="00D46528" w:rsidP="00396049">
      <w:pPr>
        <w:keepNext/>
        <w:keepLines/>
        <w:spacing w:before="240" w:after="40"/>
        <w:contextualSpacing/>
        <w:jc w:val="center"/>
        <w:outlineLvl w:val="3"/>
        <w:rPr>
          <w:rFonts w:ascii="Palatino Linotype" w:eastAsia="Times New Roman" w:hAnsi="Palatino Linotype"/>
          <w:b/>
          <w:color w:val="000000"/>
          <w:lang w:val="en-IN" w:eastAsia="en-IN"/>
        </w:rPr>
      </w:pPr>
      <w:r w:rsidRPr="00D46528">
        <w:rPr>
          <w:rFonts w:ascii="Palatino Linotype" w:eastAsia="Times New Roman" w:hAnsi="Palatino Linotype"/>
          <w:b/>
          <w:color w:val="000000"/>
          <w:lang w:val="en-IN" w:eastAsia="en-IN"/>
        </w:rPr>
        <w:t>OVERVIEW OF THE GLOBAL FINANCIAL MARKETS</w:t>
      </w:r>
    </w:p>
    <w:p w:rsidR="00D46528" w:rsidRPr="00D46528" w:rsidRDefault="00D46528" w:rsidP="00D46528">
      <w:pPr>
        <w:ind w:left="360"/>
        <w:contextualSpacing/>
        <w:jc w:val="both"/>
        <w:rPr>
          <w:rFonts w:ascii="Times New Roman" w:eastAsia="Times New Roman" w:hAnsi="Times New Roman"/>
          <w:sz w:val="20"/>
          <w:szCs w:val="20"/>
          <w:cs/>
          <w:lang w:val="en-US" w:eastAsia="en-GB" w:bidi="bn-IN"/>
        </w:rPr>
      </w:pPr>
    </w:p>
    <w:p w:rsidR="00D46528" w:rsidRPr="00D46528" w:rsidRDefault="00D46528" w:rsidP="00D46528">
      <w:pPr>
        <w:spacing w:line="23" w:lineRule="atLeast"/>
        <w:ind w:left="360"/>
        <w:contextualSpacing/>
        <w:jc w:val="both"/>
        <w:rPr>
          <w:rFonts w:ascii="Times New Roman" w:eastAsia="Times New Roman" w:hAnsi="Times New Roman"/>
          <w:sz w:val="20"/>
          <w:szCs w:val="20"/>
          <w:cs/>
          <w:lang w:val="en-US" w:eastAsia="en-GB" w:bidi="bn-IN"/>
        </w:rPr>
      </w:pPr>
    </w:p>
    <w:p w:rsidR="009C796D" w:rsidRPr="00CC2504" w:rsidRDefault="009C796D" w:rsidP="009C796D">
      <w:pPr>
        <w:pStyle w:val="ListParagraph"/>
        <w:numPr>
          <w:ilvl w:val="0"/>
          <w:numId w:val="23"/>
        </w:numPr>
        <w:shd w:val="clear" w:color="auto" w:fill="FFFFFF"/>
        <w:spacing w:before="150" w:after="150" w:line="345" w:lineRule="atLeast"/>
        <w:ind w:right="300"/>
        <w:jc w:val="both"/>
        <w:rPr>
          <w:rFonts w:ascii="Palatino Linotype" w:eastAsia="Times New Roman" w:hAnsi="Palatino Linotype"/>
          <w:sz w:val="22"/>
          <w:szCs w:val="22"/>
        </w:rPr>
      </w:pPr>
      <w:r w:rsidRPr="00CC2504">
        <w:rPr>
          <w:rFonts w:ascii="Palatino Linotype" w:eastAsia="Times New Roman" w:hAnsi="Palatino Linotype"/>
          <w:sz w:val="22"/>
          <w:szCs w:val="22"/>
        </w:rPr>
        <w:t>The month of November saw positive news on COVID-19 vaccines. Many pharmaceutical companies announced that their vaccines have shown significant effectiveness in reducing symptomatic cases of COVID</w:t>
      </w:r>
      <w:r w:rsidR="00D82FC4">
        <w:rPr>
          <w:rFonts w:ascii="Palatino Linotype" w:eastAsia="Times New Roman" w:hAnsi="Palatino Linotype"/>
          <w:sz w:val="22"/>
          <w:szCs w:val="22"/>
        </w:rPr>
        <w:t>-</w:t>
      </w:r>
      <w:r w:rsidRPr="00CC2504">
        <w:rPr>
          <w:rFonts w:ascii="Palatino Linotype" w:eastAsia="Times New Roman" w:hAnsi="Palatino Linotype"/>
          <w:sz w:val="22"/>
          <w:szCs w:val="22"/>
        </w:rPr>
        <w:t xml:space="preserve">19. However, the fresh COVID-19 infections mainly in USA and Europe increased at the rapid pace </w:t>
      </w:r>
      <w:r w:rsidR="00D82FC4">
        <w:rPr>
          <w:rFonts w:ascii="Palatino Linotype" w:eastAsia="Times New Roman" w:hAnsi="Palatino Linotype"/>
          <w:sz w:val="22"/>
          <w:szCs w:val="22"/>
        </w:rPr>
        <w:t>during</w:t>
      </w:r>
      <w:r w:rsidRPr="00CC2504">
        <w:rPr>
          <w:rFonts w:ascii="Palatino Linotype" w:eastAsia="Times New Roman" w:hAnsi="Palatino Linotype"/>
          <w:sz w:val="22"/>
          <w:szCs w:val="22"/>
        </w:rPr>
        <w:t xml:space="preserve"> November.  The fresh COVID-19 cases in USA increased by 4.50 million in November compared to 1.90 million in previous month, followed by Italy (0.92 million new cases vs 0.36 million in previous month), France (0.86 million new cases in November vs 0.81 million in previous month), UK (0.62 million new cases vs 0.55 million in previous month), Russia (0.68 million new cases vs 0.44 million in previous month). On the positive note, the fresh infections in India started declining (1.28 million in November compared to 1.87 million in previous month), according to data published by </w:t>
      </w:r>
      <w:r w:rsidRPr="00CC2504">
        <w:rPr>
          <w:rFonts w:ascii="Palatino Linotype" w:eastAsia="Times New Roman" w:hAnsi="Palatino Linotype"/>
          <w:i/>
          <w:sz w:val="22"/>
          <w:szCs w:val="22"/>
        </w:rPr>
        <w:t>worldometers.info</w:t>
      </w:r>
      <w:r w:rsidRPr="00CC2504">
        <w:rPr>
          <w:rFonts w:ascii="Palatino Linotype" w:eastAsia="Times New Roman" w:hAnsi="Palatino Linotype"/>
          <w:sz w:val="22"/>
          <w:szCs w:val="22"/>
        </w:rPr>
        <w:t xml:space="preserve">. </w:t>
      </w:r>
    </w:p>
    <w:p w:rsidR="009C796D"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The world economic activity resumes its growth in month of </w:t>
      </w:r>
      <w:r>
        <w:rPr>
          <w:rFonts w:ascii="Palatino Linotype" w:eastAsia="Times New Roman" w:hAnsi="Palatino Linotype"/>
          <w:sz w:val="22"/>
          <w:szCs w:val="22"/>
          <w:lang w:val="en-US"/>
        </w:rPr>
        <w:t>November</w:t>
      </w:r>
      <w:r w:rsidRPr="00272724">
        <w:rPr>
          <w:rFonts w:ascii="Palatino Linotype" w:eastAsia="Times New Roman" w:hAnsi="Palatino Linotype"/>
          <w:sz w:val="22"/>
          <w:szCs w:val="22"/>
          <w:lang w:val="en-US"/>
        </w:rPr>
        <w:t xml:space="preserve"> 2020, after a good recovery in the past few months. The JPMorgan Global Composite Purchasing Managers’ Index (</w:t>
      </w:r>
      <w:r>
        <w:rPr>
          <w:rFonts w:ascii="Palatino Linotype" w:eastAsia="Times New Roman" w:hAnsi="Palatino Linotype"/>
          <w:sz w:val="22"/>
          <w:szCs w:val="22"/>
          <w:lang w:val="en-US"/>
        </w:rPr>
        <w:t>PMI), compiled by IHS Markit, de</w:t>
      </w:r>
      <w:r w:rsidRPr="00272724">
        <w:rPr>
          <w:rFonts w:ascii="Palatino Linotype" w:eastAsia="Times New Roman" w:hAnsi="Palatino Linotype"/>
          <w:sz w:val="22"/>
          <w:szCs w:val="22"/>
          <w:lang w:val="en-US"/>
        </w:rPr>
        <w:t>creased to</w:t>
      </w:r>
      <w:r>
        <w:rPr>
          <w:rFonts w:ascii="Palatino Linotype" w:eastAsia="Times New Roman" w:hAnsi="Palatino Linotype"/>
          <w:sz w:val="22"/>
          <w:szCs w:val="22"/>
          <w:lang w:val="en-US"/>
        </w:rPr>
        <w:t xml:space="preserve"> 53.1 in November 2020 from</w:t>
      </w:r>
      <w:r w:rsidRPr="00272724">
        <w:rPr>
          <w:rFonts w:ascii="Palatino Linotype" w:eastAsia="Times New Roman" w:hAnsi="Palatino Linotype"/>
          <w:sz w:val="22"/>
          <w:szCs w:val="22"/>
          <w:lang w:val="en-US"/>
        </w:rPr>
        <w:t xml:space="preserve"> 53.30 in October 2020. A reading of PMI above 50 means growth or expansion in economic activity. </w:t>
      </w:r>
    </w:p>
    <w:p w:rsidR="009C796D" w:rsidRPr="00272724" w:rsidRDefault="009C796D" w:rsidP="009C796D">
      <w:pPr>
        <w:spacing w:after="200" w:line="276" w:lineRule="auto"/>
        <w:ind w:left="720"/>
        <w:contextualSpacing/>
        <w:rPr>
          <w:rFonts w:ascii="Palatino Linotype" w:eastAsia="Times New Roman" w:hAnsi="Palatino Linotype"/>
          <w:sz w:val="22"/>
          <w:szCs w:val="22"/>
          <w:lang w:val="en-US"/>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The global equity markets rallied strongly in November 2020 </w:t>
      </w:r>
      <w:r w:rsidRPr="004879ED">
        <w:rPr>
          <w:rFonts w:ascii="Palatino Linotype" w:eastAsia="Times New Roman" w:hAnsi="Palatino Linotype"/>
          <w:sz w:val="22"/>
          <w:szCs w:val="22"/>
          <w:lang w:val="en-US"/>
        </w:rPr>
        <w:t>on the news of three COVID</w:t>
      </w:r>
      <w:r w:rsidR="00D82FC4">
        <w:rPr>
          <w:rFonts w:ascii="Palatino Linotype" w:eastAsia="Times New Roman" w:hAnsi="Palatino Linotype"/>
          <w:sz w:val="22"/>
          <w:szCs w:val="22"/>
          <w:lang w:val="en-US"/>
        </w:rPr>
        <w:t>-</w:t>
      </w:r>
      <w:r w:rsidRPr="004879ED">
        <w:rPr>
          <w:rFonts w:ascii="Palatino Linotype" w:eastAsia="Times New Roman" w:hAnsi="Palatino Linotype"/>
          <w:sz w:val="22"/>
          <w:szCs w:val="22"/>
          <w:lang w:val="en-US"/>
        </w:rPr>
        <w:t>19 vaccines that are effective against the COVID</w:t>
      </w:r>
      <w:r w:rsidR="00D82FC4">
        <w:rPr>
          <w:rFonts w:ascii="Palatino Linotype" w:eastAsia="Times New Roman" w:hAnsi="Palatino Linotype"/>
          <w:sz w:val="22"/>
          <w:szCs w:val="22"/>
          <w:lang w:val="en-US"/>
        </w:rPr>
        <w:t>-</w:t>
      </w:r>
      <w:r w:rsidRPr="004879ED">
        <w:rPr>
          <w:rFonts w:ascii="Palatino Linotype" w:eastAsia="Times New Roman" w:hAnsi="Palatino Linotype"/>
          <w:sz w:val="22"/>
          <w:szCs w:val="22"/>
          <w:lang w:val="en-US"/>
        </w:rPr>
        <w:t>19 virus</w:t>
      </w:r>
      <w:r w:rsidRPr="00272724">
        <w:rPr>
          <w:rFonts w:ascii="Palatino Linotype" w:eastAsia="Times New Roman" w:hAnsi="Palatino Linotype"/>
          <w:sz w:val="22"/>
          <w:szCs w:val="22"/>
          <w:lang w:val="en-US"/>
        </w:rPr>
        <w:t xml:space="preserve">. The Dow Jones Industrial Average of USA </w:t>
      </w:r>
      <w:r>
        <w:rPr>
          <w:rFonts w:ascii="Palatino Linotype" w:eastAsia="Times New Roman" w:hAnsi="Palatino Linotype"/>
          <w:sz w:val="22"/>
          <w:szCs w:val="22"/>
          <w:lang w:val="en-US"/>
        </w:rPr>
        <w:t>increased</w:t>
      </w:r>
      <w:r w:rsidRPr="00272724">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11.8</w:t>
      </w:r>
      <w:r w:rsidRPr="00272724">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November</w:t>
      </w:r>
      <w:r w:rsidRPr="00272724">
        <w:rPr>
          <w:rFonts w:ascii="Palatino Linotype" w:eastAsia="Times New Roman" w:hAnsi="Palatino Linotype"/>
          <w:sz w:val="22"/>
          <w:szCs w:val="22"/>
          <w:lang w:val="en-US"/>
        </w:rPr>
        <w:t xml:space="preserve"> 2020 over previous month. The S&amp;P 500 index </w:t>
      </w:r>
      <w:r>
        <w:rPr>
          <w:rFonts w:ascii="Palatino Linotype" w:eastAsia="Times New Roman" w:hAnsi="Palatino Linotype"/>
          <w:sz w:val="22"/>
          <w:szCs w:val="22"/>
          <w:lang w:val="en-US"/>
        </w:rPr>
        <w:t>increased by 10</w:t>
      </w:r>
      <w:r w:rsidRPr="00272724">
        <w:rPr>
          <w:rFonts w:ascii="Palatino Linotype" w:eastAsia="Times New Roman" w:hAnsi="Palatino Linotype"/>
          <w:sz w:val="22"/>
          <w:szCs w:val="22"/>
          <w:lang w:val="en-US"/>
        </w:rPr>
        <w:t xml:space="preserve">.8 per cent, and the tech heavy NASDAQ Composite </w:t>
      </w:r>
      <w:r>
        <w:rPr>
          <w:rFonts w:ascii="Palatino Linotype" w:eastAsia="Times New Roman" w:hAnsi="Palatino Linotype"/>
          <w:sz w:val="22"/>
          <w:szCs w:val="22"/>
          <w:lang w:val="en-US"/>
        </w:rPr>
        <w:t>increased</w:t>
      </w:r>
      <w:r w:rsidRPr="00272724">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11.8</w:t>
      </w:r>
      <w:r w:rsidRPr="00272724">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November</w:t>
      </w:r>
      <w:r w:rsidRPr="00272724">
        <w:rPr>
          <w:rFonts w:ascii="Palatino Linotype" w:eastAsia="Times New Roman" w:hAnsi="Palatino Linotype"/>
          <w:sz w:val="22"/>
          <w:szCs w:val="22"/>
          <w:lang w:val="en-US"/>
        </w:rPr>
        <w:t xml:space="preserve"> 2020 over previous month. </w:t>
      </w:r>
    </w:p>
    <w:p w:rsidR="009C796D" w:rsidRPr="00272724" w:rsidRDefault="009C796D" w:rsidP="009C796D">
      <w:pPr>
        <w:spacing w:before="100" w:beforeAutospacing="1" w:line="276" w:lineRule="auto"/>
        <w:ind w:left="360"/>
        <w:contextualSpacing/>
        <w:jc w:val="both"/>
        <w:rPr>
          <w:rFonts w:ascii="Palatino Linotype" w:eastAsia="Times New Roman" w:hAnsi="Palatino Linotype"/>
          <w:sz w:val="22"/>
          <w:szCs w:val="22"/>
          <w:lang w:val="en-US"/>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trike/>
          <w:sz w:val="22"/>
          <w:szCs w:val="22"/>
          <w:lang w:val="en-US"/>
        </w:rPr>
      </w:pPr>
      <w:r>
        <w:rPr>
          <w:rFonts w:ascii="Palatino Linotype" w:eastAsia="Times New Roman" w:hAnsi="Palatino Linotype"/>
          <w:sz w:val="22"/>
          <w:szCs w:val="22"/>
          <w:lang w:val="en-US"/>
        </w:rPr>
        <w:t>The emerging equity markets under</w:t>
      </w:r>
      <w:r w:rsidRPr="00272724">
        <w:rPr>
          <w:rFonts w:ascii="Palatino Linotype" w:eastAsia="Times New Roman" w:hAnsi="Palatino Linotype"/>
          <w:sz w:val="22"/>
          <w:szCs w:val="22"/>
          <w:lang w:val="en-US"/>
        </w:rPr>
        <w:t xml:space="preserve">performed advanced markets in </w:t>
      </w:r>
      <w:r>
        <w:rPr>
          <w:rFonts w:ascii="Palatino Linotype" w:eastAsia="Times New Roman" w:hAnsi="Palatino Linotype"/>
          <w:sz w:val="22"/>
          <w:szCs w:val="22"/>
          <w:lang w:val="en-US"/>
        </w:rPr>
        <w:t xml:space="preserve">November </w:t>
      </w:r>
      <w:r w:rsidRPr="00272724">
        <w:rPr>
          <w:rFonts w:ascii="Palatino Linotype" w:eastAsia="Times New Roman" w:hAnsi="Palatino Linotype"/>
          <w:sz w:val="22"/>
          <w:szCs w:val="22"/>
          <w:lang w:val="en-US"/>
        </w:rPr>
        <w:t xml:space="preserve">2020. MSCI Emerging Market (EM) index increased by </w:t>
      </w:r>
      <w:r>
        <w:rPr>
          <w:rFonts w:ascii="Palatino Linotype" w:eastAsia="Times New Roman" w:hAnsi="Palatino Linotype"/>
          <w:sz w:val="22"/>
          <w:szCs w:val="22"/>
          <w:lang w:val="en-US"/>
        </w:rPr>
        <w:t>9.2</w:t>
      </w:r>
      <w:r w:rsidRPr="00272724">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 xml:space="preserve">November </w:t>
      </w:r>
      <w:r w:rsidRPr="00272724">
        <w:rPr>
          <w:rFonts w:ascii="Palatino Linotype" w:eastAsia="Times New Roman" w:hAnsi="Palatino Linotype"/>
          <w:sz w:val="22"/>
          <w:szCs w:val="22"/>
          <w:lang w:val="en-US"/>
        </w:rPr>
        <w:t xml:space="preserve">2020 over the previous month, while MSCI World index was </w:t>
      </w:r>
      <w:r>
        <w:rPr>
          <w:rFonts w:ascii="Palatino Linotype" w:eastAsia="Times New Roman" w:hAnsi="Palatino Linotype"/>
          <w:sz w:val="22"/>
          <w:szCs w:val="22"/>
          <w:lang w:val="en-US"/>
        </w:rPr>
        <w:t>up</w:t>
      </w:r>
      <w:r w:rsidRPr="00272724">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12.7</w:t>
      </w:r>
      <w:r w:rsidRPr="00272724">
        <w:rPr>
          <w:rFonts w:ascii="Palatino Linotype" w:eastAsia="Times New Roman" w:hAnsi="Palatino Linotype"/>
          <w:sz w:val="22"/>
          <w:szCs w:val="22"/>
          <w:lang w:val="en-US"/>
        </w:rPr>
        <w:t xml:space="preserve"> per cent during same period. </w:t>
      </w:r>
    </w:p>
    <w:p w:rsidR="009C796D" w:rsidRPr="00272724" w:rsidRDefault="009C796D" w:rsidP="009C796D">
      <w:pPr>
        <w:spacing w:before="100" w:beforeAutospacing="1" w:line="276" w:lineRule="auto"/>
        <w:ind w:left="360"/>
        <w:contextualSpacing/>
        <w:jc w:val="both"/>
        <w:rPr>
          <w:rFonts w:ascii="Palatino Linotype" w:eastAsia="Times New Roman" w:hAnsi="Palatino Linotype"/>
          <w:sz w:val="22"/>
          <w:szCs w:val="22"/>
          <w:lang w:val="en-US"/>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The volatility </w:t>
      </w:r>
      <w:r>
        <w:rPr>
          <w:rFonts w:ascii="Palatino Linotype" w:eastAsia="Times New Roman" w:hAnsi="Palatino Linotype"/>
          <w:sz w:val="22"/>
          <w:szCs w:val="22"/>
          <w:lang w:val="en-US"/>
        </w:rPr>
        <w:t xml:space="preserve">in the equity markets moderated post US election results on November 04, 2020. </w:t>
      </w:r>
      <w:r w:rsidRPr="00272724">
        <w:rPr>
          <w:rFonts w:ascii="Palatino Linotype" w:eastAsia="Times New Roman" w:hAnsi="Palatino Linotype"/>
          <w:sz w:val="22"/>
          <w:szCs w:val="22"/>
          <w:lang w:val="en-US"/>
        </w:rPr>
        <w:t xml:space="preserve">The CBOE VIX index </w:t>
      </w:r>
      <w:r>
        <w:rPr>
          <w:rFonts w:ascii="Palatino Linotype" w:eastAsia="Times New Roman" w:hAnsi="Palatino Linotype"/>
          <w:sz w:val="22"/>
          <w:szCs w:val="22"/>
          <w:lang w:val="en-US"/>
        </w:rPr>
        <w:t>fell</w:t>
      </w:r>
      <w:r w:rsidRPr="00272724">
        <w:rPr>
          <w:rFonts w:ascii="Palatino Linotype" w:eastAsia="Times New Roman" w:hAnsi="Palatino Linotype"/>
          <w:sz w:val="22"/>
          <w:szCs w:val="22"/>
          <w:lang w:val="en-US"/>
        </w:rPr>
        <w:t xml:space="preserve"> sharply to </w:t>
      </w:r>
      <w:r>
        <w:rPr>
          <w:rFonts w:ascii="Palatino Linotype" w:eastAsia="Times New Roman" w:hAnsi="Palatino Linotype"/>
          <w:sz w:val="22"/>
          <w:szCs w:val="22"/>
          <w:lang w:val="en-US"/>
        </w:rPr>
        <w:t xml:space="preserve">20.6 on November 30, 2020 from </w:t>
      </w:r>
      <w:r w:rsidRPr="00272724">
        <w:rPr>
          <w:rFonts w:ascii="Palatino Linotype" w:eastAsia="Times New Roman" w:hAnsi="Palatino Linotype"/>
          <w:sz w:val="22"/>
          <w:szCs w:val="22"/>
          <w:lang w:val="en-US"/>
        </w:rPr>
        <w:t>38.0 on October 30, 202</w:t>
      </w:r>
      <w:r>
        <w:rPr>
          <w:rFonts w:ascii="Palatino Linotype" w:eastAsia="Times New Roman" w:hAnsi="Palatino Linotype"/>
          <w:sz w:val="22"/>
          <w:szCs w:val="22"/>
          <w:lang w:val="en-US"/>
        </w:rPr>
        <w:t>0</w:t>
      </w:r>
      <w:r w:rsidRPr="00272724">
        <w:rPr>
          <w:rFonts w:ascii="Palatino Linotype" w:eastAsia="Times New Roman" w:hAnsi="Palatino Linotype"/>
          <w:sz w:val="22"/>
          <w:szCs w:val="22"/>
          <w:lang w:val="en-US"/>
        </w:rPr>
        <w:t>.</w:t>
      </w:r>
    </w:p>
    <w:p w:rsidR="009C796D" w:rsidRPr="00272724" w:rsidRDefault="009C796D" w:rsidP="009C796D">
      <w:pPr>
        <w:spacing w:before="100" w:beforeAutospacing="1" w:line="276" w:lineRule="auto"/>
        <w:ind w:left="360"/>
        <w:contextualSpacing/>
        <w:jc w:val="both"/>
        <w:rPr>
          <w:rFonts w:ascii="Palatino Linotype" w:eastAsia="Times New Roman" w:hAnsi="Palatino Linotype"/>
          <w:sz w:val="22"/>
          <w:szCs w:val="22"/>
          <w:lang w:val="en-US"/>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The bond markets </w:t>
      </w:r>
      <w:r>
        <w:rPr>
          <w:rFonts w:ascii="Palatino Linotype" w:eastAsia="Times New Roman" w:hAnsi="Palatino Linotype"/>
          <w:sz w:val="22"/>
          <w:szCs w:val="22"/>
          <w:lang w:val="en-US"/>
        </w:rPr>
        <w:t>remained mostly flat</w:t>
      </w:r>
      <w:r w:rsidRPr="00272724">
        <w:rPr>
          <w:rFonts w:ascii="Palatino Linotype" w:eastAsia="Times New Roman" w:hAnsi="Palatino Linotype"/>
          <w:sz w:val="22"/>
          <w:szCs w:val="22"/>
          <w:lang w:val="en-US"/>
        </w:rPr>
        <w:t xml:space="preserve"> during </w:t>
      </w:r>
      <w:r>
        <w:rPr>
          <w:rFonts w:ascii="Palatino Linotype" w:eastAsia="Times New Roman" w:hAnsi="Palatino Linotype"/>
          <w:sz w:val="22"/>
          <w:szCs w:val="22"/>
          <w:lang w:val="en-US"/>
        </w:rPr>
        <w:t>November</w:t>
      </w:r>
      <w:r w:rsidRPr="00272724">
        <w:rPr>
          <w:rFonts w:ascii="Palatino Linotype" w:eastAsia="Times New Roman" w:hAnsi="Palatino Linotype"/>
          <w:sz w:val="22"/>
          <w:szCs w:val="22"/>
          <w:lang w:val="en-US"/>
        </w:rPr>
        <w:t xml:space="preserve"> 2020. While the US </w:t>
      </w:r>
      <w:r>
        <w:rPr>
          <w:rFonts w:ascii="Palatino Linotype" w:eastAsia="Times New Roman" w:hAnsi="Palatino Linotype"/>
          <w:sz w:val="22"/>
          <w:szCs w:val="22"/>
          <w:lang w:val="en-US"/>
        </w:rPr>
        <w:t>10-year government bond yield de</w:t>
      </w:r>
      <w:r w:rsidRPr="00272724">
        <w:rPr>
          <w:rFonts w:ascii="Palatino Linotype" w:eastAsia="Times New Roman" w:hAnsi="Palatino Linotype"/>
          <w:sz w:val="22"/>
          <w:szCs w:val="22"/>
          <w:lang w:val="en-US"/>
        </w:rPr>
        <w:t xml:space="preserve">creased by </w:t>
      </w:r>
      <w:r>
        <w:rPr>
          <w:rFonts w:ascii="Palatino Linotype" w:eastAsia="Times New Roman" w:hAnsi="Palatino Linotype"/>
          <w:sz w:val="22"/>
          <w:szCs w:val="22"/>
          <w:lang w:val="en-US"/>
        </w:rPr>
        <w:t>3</w:t>
      </w:r>
      <w:r w:rsidRPr="00272724">
        <w:rPr>
          <w:rFonts w:ascii="Palatino Linotype" w:eastAsia="Times New Roman" w:hAnsi="Palatino Linotype"/>
          <w:sz w:val="22"/>
          <w:szCs w:val="22"/>
          <w:lang w:val="en-US"/>
        </w:rPr>
        <w:t xml:space="preserve"> bps to 0.8</w:t>
      </w:r>
      <w:r>
        <w:rPr>
          <w:rFonts w:ascii="Palatino Linotype" w:eastAsia="Times New Roman" w:hAnsi="Palatino Linotype"/>
          <w:sz w:val="22"/>
          <w:szCs w:val="22"/>
          <w:lang w:val="en-US"/>
        </w:rPr>
        <w:t>4</w:t>
      </w:r>
      <w:r w:rsidRPr="00272724">
        <w:rPr>
          <w:rFonts w:ascii="Palatino Linotype" w:eastAsia="Times New Roman" w:hAnsi="Palatino Linotype"/>
          <w:sz w:val="22"/>
          <w:szCs w:val="22"/>
          <w:lang w:val="en-US"/>
        </w:rPr>
        <w:t xml:space="preserve"> per cent during </w:t>
      </w:r>
      <w:r>
        <w:rPr>
          <w:rFonts w:ascii="Palatino Linotype" w:eastAsia="Times New Roman" w:hAnsi="Palatino Linotype"/>
          <w:sz w:val="22"/>
          <w:szCs w:val="22"/>
          <w:lang w:val="en-US"/>
        </w:rPr>
        <w:t>Novem</w:t>
      </w:r>
      <w:r w:rsidRPr="00272724">
        <w:rPr>
          <w:rFonts w:ascii="Palatino Linotype" w:eastAsia="Times New Roman" w:hAnsi="Palatino Linotype"/>
          <w:sz w:val="22"/>
          <w:szCs w:val="22"/>
          <w:lang w:val="en-US"/>
        </w:rPr>
        <w:t>ber 2020, the 10-year Eurozone Central Government Bond yield declin</w:t>
      </w:r>
      <w:r>
        <w:rPr>
          <w:rFonts w:ascii="Palatino Linotype" w:eastAsia="Times New Roman" w:hAnsi="Palatino Linotype"/>
          <w:sz w:val="22"/>
          <w:szCs w:val="22"/>
          <w:lang w:val="en-US"/>
        </w:rPr>
        <w:t>ed by 5 bps to -0.19</w:t>
      </w:r>
      <w:r w:rsidRPr="00272724">
        <w:rPr>
          <w:rFonts w:ascii="Palatino Linotype" w:eastAsia="Times New Roman" w:hAnsi="Palatino Linotype"/>
          <w:sz w:val="22"/>
          <w:szCs w:val="22"/>
          <w:lang w:val="en-US"/>
        </w:rPr>
        <w:t xml:space="preserve"> per cent. The 10-year government bond yield of India </w:t>
      </w:r>
      <w:r>
        <w:rPr>
          <w:rFonts w:ascii="Palatino Linotype" w:eastAsia="Times New Roman" w:hAnsi="Palatino Linotype"/>
          <w:sz w:val="22"/>
          <w:szCs w:val="22"/>
          <w:lang w:val="en-US"/>
        </w:rPr>
        <w:t xml:space="preserve">rose by </w:t>
      </w:r>
      <w:r w:rsidRPr="00272724">
        <w:rPr>
          <w:rFonts w:ascii="Palatino Linotype" w:eastAsia="Times New Roman" w:hAnsi="Palatino Linotype"/>
          <w:sz w:val="22"/>
          <w:szCs w:val="22"/>
          <w:lang w:val="en-US"/>
        </w:rPr>
        <w:t>3 bps to 5.</w:t>
      </w:r>
      <w:r>
        <w:rPr>
          <w:rFonts w:ascii="Palatino Linotype" w:eastAsia="Times New Roman" w:hAnsi="Palatino Linotype"/>
          <w:sz w:val="22"/>
          <w:szCs w:val="22"/>
          <w:lang w:val="en-US"/>
        </w:rPr>
        <w:t>91</w:t>
      </w:r>
      <w:r w:rsidRPr="00272724">
        <w:rPr>
          <w:rFonts w:ascii="Palatino Linotype" w:eastAsia="Times New Roman" w:hAnsi="Palatino Linotype"/>
          <w:sz w:val="22"/>
          <w:szCs w:val="22"/>
          <w:lang w:val="en-US"/>
        </w:rPr>
        <w:t xml:space="preserve"> per cent on </w:t>
      </w:r>
      <w:r>
        <w:rPr>
          <w:rFonts w:ascii="Palatino Linotype" w:eastAsia="Times New Roman" w:hAnsi="Palatino Linotype"/>
          <w:sz w:val="22"/>
          <w:szCs w:val="22"/>
          <w:lang w:val="en-US"/>
        </w:rPr>
        <w:t>November</w:t>
      </w:r>
      <w:r w:rsidRPr="00272724">
        <w:rPr>
          <w:rFonts w:ascii="Palatino Linotype" w:eastAsia="Times New Roman" w:hAnsi="Palatino Linotype"/>
          <w:sz w:val="22"/>
          <w:szCs w:val="22"/>
          <w:lang w:val="en-US"/>
        </w:rPr>
        <w:t xml:space="preserve"> 30, 2020 from </w:t>
      </w:r>
      <w:r>
        <w:rPr>
          <w:rFonts w:ascii="Palatino Linotype" w:eastAsia="Times New Roman" w:hAnsi="Palatino Linotype"/>
          <w:sz w:val="22"/>
          <w:szCs w:val="22"/>
          <w:lang w:val="en-US"/>
        </w:rPr>
        <w:t>5.88</w:t>
      </w:r>
      <w:r w:rsidRPr="00272724">
        <w:rPr>
          <w:rFonts w:ascii="Palatino Linotype" w:eastAsia="Times New Roman" w:hAnsi="Palatino Linotype"/>
          <w:sz w:val="22"/>
          <w:szCs w:val="22"/>
          <w:lang w:val="en-US"/>
        </w:rPr>
        <w:t xml:space="preserve"> per cent on </w:t>
      </w:r>
      <w:r>
        <w:rPr>
          <w:rFonts w:ascii="Palatino Linotype" w:eastAsia="Times New Roman" w:hAnsi="Palatino Linotype"/>
          <w:sz w:val="22"/>
          <w:szCs w:val="22"/>
          <w:lang w:val="en-US"/>
        </w:rPr>
        <w:t>October 31</w:t>
      </w:r>
      <w:r w:rsidRPr="00272724">
        <w:rPr>
          <w:rFonts w:ascii="Palatino Linotype" w:eastAsia="Times New Roman" w:hAnsi="Palatino Linotype"/>
          <w:sz w:val="22"/>
          <w:szCs w:val="22"/>
          <w:lang w:val="en-US"/>
        </w:rPr>
        <w:t>, 2020.</w:t>
      </w:r>
    </w:p>
    <w:p w:rsidR="009C796D" w:rsidRPr="00272724" w:rsidRDefault="009C796D" w:rsidP="009C796D">
      <w:pPr>
        <w:spacing w:before="100" w:beforeAutospacing="1" w:line="276" w:lineRule="auto"/>
        <w:ind w:left="360"/>
        <w:contextualSpacing/>
        <w:jc w:val="both"/>
        <w:rPr>
          <w:rFonts w:ascii="Palatino Linotype" w:eastAsia="Times New Roman" w:hAnsi="Palatino Linotype"/>
          <w:sz w:val="22"/>
          <w:szCs w:val="22"/>
          <w:lang w:val="en-US"/>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The crude oil prices jumped up</w:t>
      </w:r>
      <w:r w:rsidRPr="00272724">
        <w:rPr>
          <w:rFonts w:ascii="Palatino Linotype" w:eastAsia="Times New Roman" w:hAnsi="Palatino Linotype"/>
          <w:sz w:val="22"/>
          <w:szCs w:val="22"/>
          <w:lang w:val="en-US"/>
        </w:rPr>
        <w:t xml:space="preserve"> by USD </w:t>
      </w:r>
      <w:r>
        <w:rPr>
          <w:rFonts w:ascii="Palatino Linotype" w:eastAsia="Times New Roman" w:hAnsi="Palatino Linotype"/>
          <w:sz w:val="22"/>
          <w:szCs w:val="22"/>
          <w:lang w:val="en-US"/>
        </w:rPr>
        <w:t>9.6</w:t>
      </w:r>
      <w:r w:rsidRPr="00272724">
        <w:rPr>
          <w:rFonts w:ascii="Palatino Linotype" w:eastAsia="Times New Roman" w:hAnsi="Palatino Linotype"/>
          <w:sz w:val="22"/>
          <w:szCs w:val="22"/>
          <w:lang w:val="en-US"/>
        </w:rPr>
        <w:t xml:space="preserve"> per barrel (or by </w:t>
      </w:r>
      <w:r>
        <w:rPr>
          <w:rFonts w:ascii="Palatino Linotype" w:eastAsia="Times New Roman" w:hAnsi="Palatino Linotype"/>
          <w:sz w:val="22"/>
          <w:szCs w:val="22"/>
          <w:lang w:val="en-US"/>
        </w:rPr>
        <w:t>26.7</w:t>
      </w:r>
      <w:r w:rsidRPr="00272724">
        <w:rPr>
          <w:rFonts w:ascii="Palatino Linotype" w:eastAsia="Times New Roman" w:hAnsi="Palatino Linotype"/>
          <w:sz w:val="22"/>
          <w:szCs w:val="22"/>
          <w:lang w:val="en-US"/>
        </w:rPr>
        <w:t xml:space="preserve"> per cent) to USD </w:t>
      </w:r>
      <w:r>
        <w:rPr>
          <w:rFonts w:ascii="Palatino Linotype" w:eastAsia="Times New Roman" w:hAnsi="Palatino Linotype"/>
          <w:sz w:val="22"/>
          <w:szCs w:val="22"/>
          <w:lang w:val="en-US"/>
        </w:rPr>
        <w:t>45.3</w:t>
      </w:r>
      <w:r w:rsidRPr="00272724">
        <w:rPr>
          <w:rFonts w:ascii="Palatino Linotype" w:eastAsia="Times New Roman" w:hAnsi="Palatino Linotype"/>
          <w:sz w:val="22"/>
          <w:szCs w:val="22"/>
          <w:lang w:val="en-US"/>
        </w:rPr>
        <w:t xml:space="preserve"> per barrel in </w:t>
      </w:r>
      <w:r>
        <w:rPr>
          <w:rFonts w:ascii="Palatino Linotype" w:eastAsia="Times New Roman" w:hAnsi="Palatino Linotype"/>
          <w:sz w:val="22"/>
          <w:szCs w:val="22"/>
          <w:lang w:val="en-US"/>
        </w:rPr>
        <w:t>November 2020. Gold prices, on the other hand, fell sharply</w:t>
      </w:r>
      <w:r w:rsidRPr="00272724">
        <w:rPr>
          <w:rFonts w:ascii="Palatino Linotype" w:eastAsia="Times New Roman" w:hAnsi="Palatino Linotype"/>
          <w:sz w:val="22"/>
          <w:szCs w:val="22"/>
          <w:lang w:val="en-US"/>
        </w:rPr>
        <w:t xml:space="preserve"> by USD </w:t>
      </w:r>
      <w:r>
        <w:rPr>
          <w:rFonts w:ascii="Palatino Linotype" w:eastAsia="Times New Roman" w:hAnsi="Palatino Linotype"/>
          <w:sz w:val="22"/>
          <w:szCs w:val="22"/>
          <w:lang w:val="en-US"/>
        </w:rPr>
        <w:t>101.8</w:t>
      </w:r>
      <w:r w:rsidRPr="00272724">
        <w:rPr>
          <w:rFonts w:ascii="Palatino Linotype" w:eastAsia="Times New Roman" w:hAnsi="Palatino Linotype"/>
          <w:sz w:val="22"/>
          <w:szCs w:val="22"/>
          <w:lang w:val="en-US"/>
        </w:rPr>
        <w:t xml:space="preserve"> per ounce (or by </w:t>
      </w:r>
      <w:r>
        <w:rPr>
          <w:rFonts w:ascii="Palatino Linotype" w:eastAsia="Times New Roman" w:hAnsi="Palatino Linotype"/>
          <w:sz w:val="22"/>
          <w:szCs w:val="22"/>
          <w:lang w:val="en-US"/>
        </w:rPr>
        <w:t>5.4</w:t>
      </w:r>
      <w:r w:rsidRPr="00272724">
        <w:rPr>
          <w:rFonts w:ascii="Palatino Linotype" w:eastAsia="Times New Roman" w:hAnsi="Palatino Linotype"/>
          <w:sz w:val="22"/>
          <w:szCs w:val="22"/>
          <w:lang w:val="en-US"/>
        </w:rPr>
        <w:t xml:space="preserve"> per cent) to USD 1,</w:t>
      </w:r>
      <w:r>
        <w:rPr>
          <w:rFonts w:ascii="Palatino Linotype" w:eastAsia="Times New Roman" w:hAnsi="Palatino Linotype"/>
          <w:sz w:val="22"/>
          <w:szCs w:val="22"/>
          <w:lang w:val="en-US"/>
        </w:rPr>
        <w:t>777.0</w:t>
      </w:r>
      <w:r w:rsidRPr="00272724">
        <w:rPr>
          <w:rFonts w:ascii="Palatino Linotype" w:eastAsia="Times New Roman" w:hAnsi="Palatino Linotype"/>
          <w:sz w:val="22"/>
          <w:szCs w:val="22"/>
          <w:lang w:val="en-US"/>
        </w:rPr>
        <w:t xml:space="preserve"> on </w:t>
      </w:r>
      <w:r>
        <w:rPr>
          <w:rFonts w:ascii="Palatino Linotype" w:eastAsia="Times New Roman" w:hAnsi="Palatino Linotype"/>
          <w:sz w:val="22"/>
          <w:szCs w:val="22"/>
          <w:lang w:val="en-US"/>
        </w:rPr>
        <w:t>November</w:t>
      </w:r>
      <w:r w:rsidRPr="00272724">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 xml:space="preserve">30, 2020 from </w:t>
      </w:r>
      <w:r w:rsidRPr="00272724">
        <w:rPr>
          <w:rFonts w:ascii="Palatino Linotype" w:eastAsia="Times New Roman" w:hAnsi="Palatino Linotype"/>
          <w:sz w:val="22"/>
          <w:szCs w:val="22"/>
          <w:lang w:val="en-US"/>
        </w:rPr>
        <w:t>USD 1,878.8</w:t>
      </w:r>
      <w:r>
        <w:rPr>
          <w:rFonts w:ascii="Palatino Linotype" w:eastAsia="Times New Roman" w:hAnsi="Palatino Linotype"/>
          <w:sz w:val="22"/>
          <w:szCs w:val="22"/>
          <w:lang w:val="en-US"/>
        </w:rPr>
        <w:t xml:space="preserve"> on October 31, 2020</w:t>
      </w:r>
      <w:r w:rsidRPr="00272724">
        <w:rPr>
          <w:rFonts w:ascii="Palatino Linotype" w:eastAsia="Times New Roman" w:hAnsi="Palatino Linotype"/>
          <w:sz w:val="22"/>
          <w:szCs w:val="22"/>
          <w:lang w:val="en-US"/>
        </w:rPr>
        <w:t>. </w:t>
      </w:r>
    </w:p>
    <w:p w:rsidR="009C796D" w:rsidRPr="00272724" w:rsidRDefault="009C796D" w:rsidP="009C796D">
      <w:pPr>
        <w:spacing w:before="100" w:beforeAutospacing="1" w:line="276" w:lineRule="auto"/>
        <w:ind w:left="360"/>
        <w:contextualSpacing/>
        <w:jc w:val="both"/>
        <w:rPr>
          <w:rFonts w:ascii="Palatino Linotype" w:eastAsia="Times New Roman" w:hAnsi="Palatino Linotype"/>
          <w:sz w:val="22"/>
          <w:szCs w:val="22"/>
          <w:lang w:val="en-US"/>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The US economy expanded by 7.4 per cent Q-o-Q (33.1 per cent Q-o-Q in annualised terms) in the Q3 of 2020, compared to contraction of 9.0 per cent Q-o-Q in the Q2 of 2020 (or 31.4 per cent contraction Q-o-Q in annualised terms). It is the biggest</w:t>
      </w:r>
      <w:r>
        <w:rPr>
          <w:rFonts w:ascii="Palatino Linotype" w:eastAsia="Times New Roman" w:hAnsi="Palatino Linotype"/>
          <w:sz w:val="22"/>
          <w:szCs w:val="22"/>
          <w:lang w:val="en-US"/>
        </w:rPr>
        <w:t xml:space="preserve"> sequential</w:t>
      </w:r>
      <w:r w:rsidRPr="00272724">
        <w:rPr>
          <w:rFonts w:ascii="Palatino Linotype" w:eastAsia="Times New Roman" w:hAnsi="Palatino Linotype"/>
          <w:sz w:val="22"/>
          <w:szCs w:val="22"/>
          <w:lang w:val="en-US"/>
        </w:rPr>
        <w:t xml:space="preserve"> expansion ever, following a steep fall in Q2 of 2020, as the economy rebounds from coronavirus pandemic. The US unemployment rate fell to 6.</w:t>
      </w:r>
      <w:r>
        <w:rPr>
          <w:rFonts w:ascii="Palatino Linotype" w:eastAsia="Times New Roman" w:hAnsi="Palatino Linotype"/>
          <w:sz w:val="22"/>
          <w:szCs w:val="22"/>
          <w:lang w:val="en-US"/>
        </w:rPr>
        <w:t>7</w:t>
      </w:r>
      <w:r w:rsidRPr="00272724">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 xml:space="preserve">November </w:t>
      </w:r>
      <w:r w:rsidRPr="00272724">
        <w:rPr>
          <w:rFonts w:ascii="Palatino Linotype" w:eastAsia="Times New Roman" w:hAnsi="Palatino Linotype"/>
          <w:sz w:val="22"/>
          <w:szCs w:val="22"/>
          <w:lang w:val="en-US"/>
        </w:rPr>
        <w:t xml:space="preserve">2020, from </w:t>
      </w:r>
      <w:r>
        <w:rPr>
          <w:rFonts w:ascii="Palatino Linotype" w:eastAsia="Times New Roman" w:hAnsi="Palatino Linotype"/>
          <w:sz w:val="22"/>
          <w:szCs w:val="22"/>
          <w:lang w:val="en-US"/>
        </w:rPr>
        <w:t>6</w:t>
      </w:r>
      <w:r w:rsidRPr="00272724">
        <w:rPr>
          <w:rFonts w:ascii="Palatino Linotype" w:eastAsia="Times New Roman" w:hAnsi="Palatino Linotype"/>
          <w:sz w:val="22"/>
          <w:szCs w:val="22"/>
          <w:lang w:val="en-US"/>
        </w:rPr>
        <w:t xml:space="preserve">.9 per cent in </w:t>
      </w:r>
      <w:r>
        <w:rPr>
          <w:rFonts w:ascii="Palatino Linotype" w:eastAsia="Times New Roman" w:hAnsi="Palatino Linotype"/>
          <w:sz w:val="22"/>
          <w:szCs w:val="22"/>
          <w:lang w:val="en-US"/>
        </w:rPr>
        <w:t>the previous month</w:t>
      </w:r>
      <w:r w:rsidRPr="00272724">
        <w:rPr>
          <w:rFonts w:ascii="Palatino Linotype" w:eastAsia="Times New Roman" w:hAnsi="Palatino Linotype"/>
          <w:sz w:val="22"/>
          <w:szCs w:val="22"/>
          <w:lang w:val="en-US"/>
        </w:rPr>
        <w:t xml:space="preserve">. The US PMI data also indicate rising economic activity. The IHS Market’s US Composite PMI rose </w:t>
      </w:r>
      <w:r>
        <w:rPr>
          <w:rFonts w:ascii="Palatino Linotype" w:eastAsia="Times New Roman" w:hAnsi="Palatino Linotype"/>
          <w:sz w:val="22"/>
          <w:szCs w:val="22"/>
          <w:lang w:val="en-US"/>
        </w:rPr>
        <w:t>to 58.6 in November 2020 from 56.3 in October 2020.</w:t>
      </w:r>
    </w:p>
    <w:p w:rsidR="009C796D" w:rsidRPr="00272724" w:rsidRDefault="009C796D" w:rsidP="009C796D">
      <w:pPr>
        <w:spacing w:after="200" w:line="276" w:lineRule="auto"/>
        <w:ind w:left="720"/>
        <w:contextualSpacing/>
        <w:rPr>
          <w:rFonts w:ascii="Palatino Linotype" w:eastAsia="Times New Roman" w:hAnsi="Palatino Linotype"/>
          <w:sz w:val="22"/>
          <w:szCs w:val="22"/>
          <w:lang w:val="en-US"/>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The UK economy g</w:t>
      </w:r>
      <w:r>
        <w:rPr>
          <w:rFonts w:ascii="Palatino Linotype" w:eastAsia="Times New Roman" w:hAnsi="Palatino Linotype"/>
          <w:sz w:val="22"/>
          <w:szCs w:val="22"/>
          <w:lang w:val="en-US"/>
        </w:rPr>
        <w:t>rew by 15.5 per cent Q-o-Q in Q3</w:t>
      </w:r>
      <w:r w:rsidRPr="00272724">
        <w:rPr>
          <w:rFonts w:ascii="Palatino Linotype" w:eastAsia="Times New Roman" w:hAnsi="Palatino Linotype"/>
          <w:sz w:val="22"/>
          <w:szCs w:val="22"/>
          <w:lang w:val="en-US"/>
        </w:rPr>
        <w:t xml:space="preserve"> of 2020, the largest-ever sequential expansion in GDP since 1955, as the economy recovers from COVID-19 induced lockdown. In the previous quarter GDP had contracted by the record 19.8 per cent Q-o-Q. The economic activity remained on the recovery path as </w:t>
      </w:r>
      <w:r>
        <w:rPr>
          <w:rFonts w:ascii="Palatino Linotype" w:eastAsia="Times New Roman" w:hAnsi="Palatino Linotype"/>
          <w:sz w:val="22"/>
          <w:szCs w:val="22"/>
          <w:lang w:val="en-US"/>
        </w:rPr>
        <w:t xml:space="preserve">IHS </w:t>
      </w:r>
      <w:r w:rsidRPr="00272724">
        <w:rPr>
          <w:rFonts w:ascii="Palatino Linotype" w:eastAsia="Times New Roman" w:hAnsi="Palatino Linotype"/>
          <w:sz w:val="22"/>
          <w:szCs w:val="22"/>
          <w:lang w:val="en-US"/>
        </w:rPr>
        <w:t xml:space="preserve">Markit UK composite PMI </w:t>
      </w:r>
      <w:r>
        <w:rPr>
          <w:rFonts w:ascii="Palatino Linotype" w:eastAsia="Times New Roman" w:hAnsi="Palatino Linotype"/>
          <w:sz w:val="22"/>
          <w:szCs w:val="22"/>
          <w:lang w:val="en-US"/>
        </w:rPr>
        <w:t>rose to 55.2</w:t>
      </w:r>
      <w:r w:rsidRPr="00272724">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 xml:space="preserve">in November 2020 from </w:t>
      </w:r>
      <w:r w:rsidRPr="00272724">
        <w:rPr>
          <w:rFonts w:ascii="Palatino Linotype" w:eastAsia="Times New Roman" w:hAnsi="Palatino Linotype"/>
          <w:sz w:val="22"/>
          <w:szCs w:val="22"/>
          <w:lang w:val="en-US"/>
        </w:rPr>
        <w:t xml:space="preserve">52.1 in previous month. </w:t>
      </w:r>
    </w:p>
    <w:p w:rsidR="009C796D" w:rsidRPr="00272724" w:rsidRDefault="009C796D" w:rsidP="009C796D">
      <w:pPr>
        <w:spacing w:before="100" w:beforeAutospacing="1" w:line="276" w:lineRule="auto"/>
        <w:ind w:left="360"/>
        <w:contextualSpacing/>
        <w:jc w:val="both"/>
        <w:rPr>
          <w:rFonts w:ascii="Palatino Linotype" w:eastAsia="Times New Roman" w:hAnsi="Palatino Linotype"/>
          <w:sz w:val="22"/>
          <w:szCs w:val="22"/>
          <w:lang w:val="en-US"/>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The Eurozone economy expanded by 12.7 per cent Q-o-Q in Q3 of 2020, after a contraction of 11.8 per cent in Q2 of 2020. All major economies in the Eurozone posted record increases in GDP. The GDP of France rose by 18.2 per</w:t>
      </w:r>
      <w:r>
        <w:rPr>
          <w:rFonts w:ascii="Palatino Linotype" w:eastAsia="Times New Roman" w:hAnsi="Palatino Linotype"/>
          <w:sz w:val="22"/>
          <w:szCs w:val="22"/>
          <w:lang w:val="en-US"/>
        </w:rPr>
        <w:t xml:space="preserve"> </w:t>
      </w:r>
      <w:r w:rsidRPr="00272724">
        <w:rPr>
          <w:rFonts w:ascii="Palatino Linotype" w:eastAsia="Times New Roman" w:hAnsi="Palatino Linotype"/>
          <w:sz w:val="22"/>
          <w:szCs w:val="22"/>
          <w:lang w:val="en-US"/>
        </w:rPr>
        <w:t>cent in Q3 of 2020 compared to -13.7 per</w:t>
      </w:r>
      <w:r>
        <w:rPr>
          <w:rFonts w:ascii="Palatino Linotype" w:eastAsia="Times New Roman" w:hAnsi="Palatino Linotype"/>
          <w:sz w:val="22"/>
          <w:szCs w:val="22"/>
          <w:lang w:val="en-US"/>
        </w:rPr>
        <w:t xml:space="preserve"> </w:t>
      </w:r>
      <w:r w:rsidRPr="00272724">
        <w:rPr>
          <w:rFonts w:ascii="Palatino Linotype" w:eastAsia="Times New Roman" w:hAnsi="Palatino Linotype"/>
          <w:sz w:val="22"/>
          <w:szCs w:val="22"/>
          <w:lang w:val="en-US"/>
        </w:rPr>
        <w:t>cent in Q2 of 2020, Spain (16.7 per</w:t>
      </w:r>
      <w:r>
        <w:rPr>
          <w:rFonts w:ascii="Palatino Linotype" w:eastAsia="Times New Roman" w:hAnsi="Palatino Linotype"/>
          <w:sz w:val="22"/>
          <w:szCs w:val="22"/>
          <w:lang w:val="en-US"/>
        </w:rPr>
        <w:t xml:space="preserve"> </w:t>
      </w:r>
      <w:r w:rsidRPr="00272724">
        <w:rPr>
          <w:rFonts w:ascii="Palatino Linotype" w:eastAsia="Times New Roman" w:hAnsi="Palatino Linotype"/>
          <w:sz w:val="22"/>
          <w:szCs w:val="22"/>
          <w:lang w:val="en-US"/>
        </w:rPr>
        <w:t>cent vs -17.8 per</w:t>
      </w:r>
      <w:r>
        <w:rPr>
          <w:rFonts w:ascii="Palatino Linotype" w:eastAsia="Times New Roman" w:hAnsi="Palatino Linotype"/>
          <w:sz w:val="22"/>
          <w:szCs w:val="22"/>
          <w:lang w:val="en-US"/>
        </w:rPr>
        <w:t xml:space="preserve"> </w:t>
      </w:r>
      <w:r w:rsidRPr="00272724">
        <w:rPr>
          <w:rFonts w:ascii="Palatino Linotype" w:eastAsia="Times New Roman" w:hAnsi="Palatino Linotype"/>
          <w:sz w:val="22"/>
          <w:szCs w:val="22"/>
          <w:lang w:val="en-US"/>
        </w:rPr>
        <w:t>cent), Italy (16.1 per</w:t>
      </w:r>
      <w:r>
        <w:rPr>
          <w:rFonts w:ascii="Palatino Linotype" w:eastAsia="Times New Roman" w:hAnsi="Palatino Linotype"/>
          <w:sz w:val="22"/>
          <w:szCs w:val="22"/>
          <w:lang w:val="en-US"/>
        </w:rPr>
        <w:t xml:space="preserve"> </w:t>
      </w:r>
      <w:r w:rsidRPr="00272724">
        <w:rPr>
          <w:rFonts w:ascii="Palatino Linotype" w:eastAsia="Times New Roman" w:hAnsi="Palatino Linotype"/>
          <w:sz w:val="22"/>
          <w:szCs w:val="22"/>
          <w:lang w:val="en-US"/>
        </w:rPr>
        <w:t>cent vs -13.0 per</w:t>
      </w:r>
      <w:r>
        <w:rPr>
          <w:rFonts w:ascii="Palatino Linotype" w:eastAsia="Times New Roman" w:hAnsi="Palatino Linotype"/>
          <w:sz w:val="22"/>
          <w:szCs w:val="22"/>
          <w:lang w:val="en-US"/>
        </w:rPr>
        <w:t xml:space="preserve"> </w:t>
      </w:r>
      <w:r w:rsidRPr="00272724">
        <w:rPr>
          <w:rFonts w:ascii="Palatino Linotype" w:eastAsia="Times New Roman" w:hAnsi="Palatino Linotype"/>
          <w:sz w:val="22"/>
          <w:szCs w:val="22"/>
          <w:lang w:val="en-US"/>
        </w:rPr>
        <w:t>cent), and Germany (8.2 per</w:t>
      </w:r>
      <w:r>
        <w:rPr>
          <w:rFonts w:ascii="Palatino Linotype" w:eastAsia="Times New Roman" w:hAnsi="Palatino Linotype"/>
          <w:sz w:val="22"/>
          <w:szCs w:val="22"/>
          <w:lang w:val="en-US"/>
        </w:rPr>
        <w:t xml:space="preserve"> </w:t>
      </w:r>
      <w:r w:rsidRPr="00272724">
        <w:rPr>
          <w:rFonts w:ascii="Palatino Linotype" w:eastAsia="Times New Roman" w:hAnsi="Palatino Linotype"/>
          <w:sz w:val="22"/>
          <w:szCs w:val="22"/>
          <w:lang w:val="en-US"/>
        </w:rPr>
        <w:t>cent vs -9.8 per</w:t>
      </w:r>
      <w:r>
        <w:rPr>
          <w:rFonts w:ascii="Palatino Linotype" w:eastAsia="Times New Roman" w:hAnsi="Palatino Linotype"/>
          <w:sz w:val="22"/>
          <w:szCs w:val="22"/>
          <w:lang w:val="en-US"/>
        </w:rPr>
        <w:t xml:space="preserve"> </w:t>
      </w:r>
      <w:r w:rsidRPr="00272724">
        <w:rPr>
          <w:rFonts w:ascii="Palatino Linotype" w:eastAsia="Times New Roman" w:hAnsi="Palatino Linotype"/>
          <w:sz w:val="22"/>
          <w:szCs w:val="22"/>
          <w:lang w:val="en-US"/>
        </w:rPr>
        <w:t xml:space="preserve">cent). However, the economic activity in the Eurozone declined slightly in October 2020. The IHS Markit Eurozone composite PMI for October 2020 fell to 50.0, compared to 50.4 in the previous month. The IMF expects Eurozone output to contract by 10.2 per cent in 2020. </w:t>
      </w:r>
    </w:p>
    <w:p w:rsidR="009C796D" w:rsidRPr="00272724" w:rsidRDefault="009C796D" w:rsidP="009C796D">
      <w:pPr>
        <w:spacing w:before="100" w:beforeAutospacing="1" w:line="276" w:lineRule="auto"/>
        <w:ind w:left="360"/>
        <w:contextualSpacing/>
        <w:jc w:val="both"/>
        <w:rPr>
          <w:rFonts w:ascii="Palatino Linotype" w:eastAsia="Times New Roman" w:hAnsi="Palatino Linotype"/>
          <w:sz w:val="22"/>
          <w:szCs w:val="22"/>
          <w:lang w:val="en-US"/>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In a widely anticipated move, the Federal Open Market Committee (FOMC), in its November meeting, left the interest rate unchanged at zero to 0.25 per cent to support the U.S. economy. Last month, the US Federal Reserve (Fed) had signaled that interest rates would remain near zero at least through 2023. According to Fed chair, Jerome Powell, the economic recovery in US has progressed more quickly than generally expected, however overall activity still remained below the level before start of the pandemic.  The IMF upwardly revised USA growth expectations for 2020 to -4.3 per cent from earlier forecast of -8.0 per cent. </w:t>
      </w:r>
    </w:p>
    <w:p w:rsidR="009C796D" w:rsidRPr="00272724" w:rsidRDefault="009C796D" w:rsidP="009C796D">
      <w:pPr>
        <w:rPr>
          <w:rFonts w:ascii="Palatino Linotype" w:eastAsia="Times New Roman" w:hAnsi="Palatino Linotype"/>
          <w:sz w:val="22"/>
          <w:szCs w:val="22"/>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GDP growth of China rebounded strongly by 4.9 per cent year-on-year in Q3 of 2020, compared to growth rate of 3.2 per cent in Q2 of 2020. According to IMF projections, the Chinese economy is expected to slow down to 1.9 per cent in 2020 before recovering to strong growth of 8.2 per cent in 2021. </w:t>
      </w:r>
    </w:p>
    <w:p w:rsidR="009C796D" w:rsidRPr="00272724" w:rsidRDefault="009C796D" w:rsidP="009C796D">
      <w:pPr>
        <w:spacing w:before="100" w:beforeAutospacing="1" w:line="276" w:lineRule="auto"/>
        <w:ind w:left="360"/>
        <w:contextualSpacing/>
        <w:jc w:val="both"/>
        <w:rPr>
          <w:rFonts w:ascii="Palatino Linotype" w:eastAsia="Times New Roman" w:hAnsi="Palatino Linotype"/>
          <w:sz w:val="22"/>
          <w:szCs w:val="22"/>
          <w:lang w:val="en-US"/>
        </w:rPr>
      </w:pPr>
    </w:p>
    <w:p w:rsidR="009C796D" w:rsidRPr="00272724" w:rsidRDefault="009C796D" w:rsidP="009C796D">
      <w:pPr>
        <w:numPr>
          <w:ilvl w:val="0"/>
          <w:numId w:val="23"/>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India’s GDP growth contracted </w:t>
      </w:r>
      <w:r w:rsidRPr="00272724">
        <w:rPr>
          <w:rFonts w:ascii="Palatino Linotype" w:eastAsia="Times New Roman" w:hAnsi="Palatino Linotype"/>
          <w:sz w:val="22"/>
          <w:szCs w:val="22"/>
          <w:lang w:val="en-US"/>
        </w:rPr>
        <w:t>by</w:t>
      </w:r>
      <w:r>
        <w:rPr>
          <w:rFonts w:ascii="Palatino Linotype" w:eastAsia="Times New Roman" w:hAnsi="Palatino Linotype"/>
          <w:sz w:val="22"/>
          <w:szCs w:val="22"/>
          <w:lang w:val="en-US"/>
        </w:rPr>
        <w:t xml:space="preserve"> 7.5 per cent Y-o-Y during Q2 of 2020-21 compared to </w:t>
      </w:r>
      <w:r w:rsidRPr="00272724">
        <w:rPr>
          <w:rFonts w:ascii="Palatino Linotype" w:eastAsia="Times New Roman" w:hAnsi="Palatino Linotype"/>
          <w:sz w:val="22"/>
          <w:szCs w:val="22"/>
          <w:lang w:val="en-US"/>
        </w:rPr>
        <w:t xml:space="preserve">23.9 per cent Y-o-Y in Q1 of 2020-21. The business activity in hotels and transportation </w:t>
      </w:r>
      <w:r>
        <w:rPr>
          <w:rFonts w:ascii="Palatino Linotype" w:eastAsia="Times New Roman" w:hAnsi="Palatino Linotype"/>
          <w:sz w:val="22"/>
          <w:szCs w:val="22"/>
          <w:lang w:val="en-US"/>
        </w:rPr>
        <w:t>declined by 15.6</w:t>
      </w:r>
      <w:r w:rsidRPr="00272724">
        <w:rPr>
          <w:rFonts w:ascii="Palatino Linotype" w:eastAsia="Times New Roman" w:hAnsi="Palatino Linotype"/>
          <w:sz w:val="22"/>
          <w:szCs w:val="22"/>
          <w:lang w:val="en-US"/>
        </w:rPr>
        <w:t xml:space="preserve">0 per cent and manufacturing </w:t>
      </w:r>
      <w:r>
        <w:rPr>
          <w:rFonts w:ascii="Palatino Linotype" w:eastAsia="Times New Roman" w:hAnsi="Palatino Linotype"/>
          <w:sz w:val="22"/>
          <w:szCs w:val="22"/>
          <w:lang w:val="en-US"/>
        </w:rPr>
        <w:t xml:space="preserve">declined by </w:t>
      </w:r>
      <w:r w:rsidRPr="00272724">
        <w:rPr>
          <w:rFonts w:ascii="Palatino Linotype" w:eastAsia="Times New Roman" w:hAnsi="Palatino Linotype"/>
          <w:sz w:val="22"/>
          <w:szCs w:val="22"/>
          <w:lang w:val="en-US"/>
        </w:rPr>
        <w:t>39.3 per cent</w:t>
      </w:r>
      <w:r>
        <w:rPr>
          <w:rFonts w:ascii="Palatino Linotype" w:eastAsia="Times New Roman" w:hAnsi="Palatino Linotype"/>
          <w:sz w:val="22"/>
          <w:szCs w:val="22"/>
          <w:lang w:val="en-US"/>
        </w:rPr>
        <w:t>. There was a decline in public administration services (-12.2 per cent), Mining and Quarrying (-9.1 per cent) and construction (-8.6 per cent)</w:t>
      </w:r>
      <w:r w:rsidRPr="00272724">
        <w:rPr>
          <w:rFonts w:ascii="Palatino Linotype" w:eastAsia="Times New Roman" w:hAnsi="Palatino Linotype"/>
          <w:sz w:val="22"/>
          <w:szCs w:val="22"/>
          <w:lang w:val="en-US"/>
        </w:rPr>
        <w:t xml:space="preserve"> sectors. Meanwhile, India GDP forecast by IMF for 2020-21 was revised sharply downwards to -10.3 per cent, compared to its earlier forecast of growth of -4.5.  According to IMF projections, the Indian economy is expected to grow by 8.8 per cent in 2021. </w:t>
      </w:r>
    </w:p>
    <w:p w:rsidR="009C796D" w:rsidRPr="00272724" w:rsidRDefault="009C796D" w:rsidP="009C796D">
      <w:pPr>
        <w:spacing w:before="100" w:beforeAutospacing="1" w:line="276" w:lineRule="auto"/>
        <w:ind w:left="360"/>
        <w:contextualSpacing/>
        <w:jc w:val="both"/>
        <w:rPr>
          <w:rFonts w:ascii="Palatino Linotype" w:eastAsia="Times New Roman" w:hAnsi="Palatino Linotype"/>
          <w:sz w:val="22"/>
          <w:szCs w:val="22"/>
          <w:lang w:val="en-US"/>
        </w:rPr>
      </w:pPr>
    </w:p>
    <w:p w:rsidR="009C796D" w:rsidRPr="00802AB9" w:rsidRDefault="009C796D" w:rsidP="009C796D">
      <w:pPr>
        <w:numPr>
          <w:ilvl w:val="0"/>
          <w:numId w:val="23"/>
        </w:numPr>
        <w:spacing w:before="100" w:beforeAutospacing="1" w:line="276" w:lineRule="auto"/>
        <w:contextualSpacing/>
        <w:jc w:val="both"/>
        <w:rPr>
          <w:rFonts w:ascii="Palatino Linotype" w:eastAsia="Times New Roman" w:hAnsi="Palatino Linotype"/>
          <w:strike/>
          <w:sz w:val="22"/>
          <w:szCs w:val="22"/>
          <w:lang w:val="en-US"/>
        </w:rPr>
      </w:pPr>
      <w:r w:rsidRPr="006202FA">
        <w:rPr>
          <w:rFonts w:ascii="Palatino Linotype" w:eastAsia="Times New Roman" w:hAnsi="Palatino Linotype"/>
          <w:sz w:val="22"/>
          <w:szCs w:val="22"/>
          <w:lang w:val="en-US"/>
        </w:rPr>
        <w:t>Retail inflation (CPI Inflation) in India declined to 6.9 per cent in November 2020 from 7.6 per cent in the previous month. Index of Industrial Production (IIP) grew by 3.6 per cent in October 2020, compared to 0.2 per</w:t>
      </w:r>
      <w:r>
        <w:rPr>
          <w:rFonts w:ascii="Palatino Linotype" w:eastAsia="Times New Roman" w:hAnsi="Palatino Linotype"/>
          <w:sz w:val="22"/>
          <w:szCs w:val="22"/>
          <w:lang w:val="en-US"/>
        </w:rPr>
        <w:t xml:space="preserve"> </w:t>
      </w:r>
      <w:r w:rsidRPr="006202FA">
        <w:rPr>
          <w:rFonts w:ascii="Palatino Linotype" w:eastAsia="Times New Roman" w:hAnsi="Palatino Linotype"/>
          <w:sz w:val="22"/>
          <w:szCs w:val="22"/>
          <w:lang w:val="en-US"/>
        </w:rPr>
        <w:t>cent in September 2020. India’s PMI data indicated moderation in the economic activity in the month of November 2020.  India’s composite PMI decreased to 56.30 in November 2020 from 58.0 in October 2020. The manufacturing PMI for November decreased to 56.3 in November 2020 compared to 58.9 in the previous month. The services PMI decreased to 53.7 in November 2020 from 54.1 in the previous month.</w:t>
      </w:r>
    </w:p>
    <w:p w:rsidR="009C796D" w:rsidRPr="00802AB9" w:rsidRDefault="009C796D" w:rsidP="009C796D">
      <w:pPr>
        <w:spacing w:line="23" w:lineRule="atLeast"/>
        <w:ind w:left="720"/>
        <w:contextualSpacing/>
        <w:rPr>
          <w:rFonts w:ascii="Garamond" w:eastAsia="Times New Roman" w:hAnsi="Garamond"/>
          <w:b/>
          <w:strike/>
          <w:lang w:val="en-US" w:eastAsia="en-GB"/>
        </w:rPr>
      </w:pPr>
    </w:p>
    <w:p w:rsidR="009C796D" w:rsidRPr="00272724" w:rsidRDefault="009C796D" w:rsidP="009C796D">
      <w:pPr>
        <w:spacing w:line="23" w:lineRule="atLeast"/>
        <w:ind w:left="720"/>
        <w:contextualSpacing/>
        <w:rPr>
          <w:rFonts w:ascii="Garamond" w:eastAsia="Times New Roman" w:hAnsi="Garamond"/>
          <w:b/>
          <w:strike/>
          <w:sz w:val="22"/>
          <w:szCs w:val="22"/>
          <w:lang w:val="en-US" w:eastAsia="en-GB"/>
        </w:rPr>
      </w:pPr>
    </w:p>
    <w:p w:rsidR="009C796D" w:rsidRPr="00272724" w:rsidRDefault="009C796D" w:rsidP="009C796D">
      <w:pPr>
        <w:spacing w:line="23" w:lineRule="atLeast"/>
        <w:ind w:left="180"/>
        <w:contextualSpacing/>
        <w:rPr>
          <w:rFonts w:ascii="Palatino Linotype" w:eastAsia="Times New Roman" w:hAnsi="Palatino Linotype"/>
          <w:b/>
          <w:sz w:val="22"/>
          <w:szCs w:val="22"/>
          <w:lang w:val="en-US" w:eastAsia="en-GB"/>
        </w:rPr>
      </w:pPr>
      <w:r w:rsidRPr="00272724">
        <w:rPr>
          <w:rFonts w:ascii="Palatino Linotype" w:eastAsia="Times New Roman" w:hAnsi="Palatino Linotype"/>
          <w:b/>
          <w:sz w:val="22"/>
          <w:szCs w:val="22"/>
          <w:lang w:val="en-US" w:eastAsia="en-GB"/>
        </w:rPr>
        <w:t>Market Trends</w:t>
      </w:r>
      <w:r w:rsidRPr="00272724">
        <w:rPr>
          <w:rFonts w:ascii="Palatino Linotype" w:eastAsia="Times New Roman" w:hAnsi="Palatino Linotype"/>
          <w:b/>
          <w:sz w:val="22"/>
          <w:szCs w:val="22"/>
          <w:vertAlign w:val="superscript"/>
          <w:lang w:val="en-US" w:eastAsia="en-GB"/>
        </w:rPr>
        <w:footnoteReference w:id="3"/>
      </w:r>
      <w:r w:rsidRPr="00272724">
        <w:rPr>
          <w:rFonts w:ascii="Palatino Linotype" w:eastAsia="Times New Roman" w:hAnsi="Palatino Linotype"/>
          <w:b/>
          <w:sz w:val="22"/>
          <w:szCs w:val="22"/>
          <w:lang w:val="en-US" w:eastAsia="en-GB"/>
        </w:rPr>
        <w:t xml:space="preserve"> – </w:t>
      </w:r>
    </w:p>
    <w:p w:rsidR="009C796D" w:rsidRPr="00272724" w:rsidRDefault="009C796D" w:rsidP="009C796D">
      <w:pPr>
        <w:spacing w:line="23" w:lineRule="atLeast"/>
        <w:ind w:left="180"/>
        <w:contextualSpacing/>
        <w:rPr>
          <w:rFonts w:ascii="Palatino Linotype" w:eastAsia="Times New Roman" w:hAnsi="Palatino Linotype"/>
          <w:b/>
          <w:sz w:val="22"/>
          <w:szCs w:val="22"/>
          <w:lang w:val="en-US" w:eastAsia="en-GB"/>
        </w:rPr>
      </w:pPr>
    </w:p>
    <w:p w:rsidR="009C796D" w:rsidRPr="00272724" w:rsidRDefault="009C796D" w:rsidP="009C796D">
      <w:pPr>
        <w:spacing w:line="360" w:lineRule="auto"/>
        <w:ind w:left="720"/>
        <w:contextualSpacing/>
        <w:rPr>
          <w:rFonts w:ascii="Palatino Linotype" w:eastAsia="Times New Roman" w:hAnsi="Palatino Linotype"/>
          <w:b/>
          <w:sz w:val="22"/>
          <w:szCs w:val="22"/>
          <w:lang w:val="en-US" w:eastAsia="en-GB"/>
        </w:rPr>
      </w:pPr>
      <w:r w:rsidRPr="00272724">
        <w:rPr>
          <w:rFonts w:ascii="Palatino Linotype" w:eastAsia="Times New Roman" w:hAnsi="Palatino Linotype"/>
          <w:b/>
          <w:sz w:val="22"/>
          <w:szCs w:val="22"/>
          <w:u w:val="single"/>
          <w:lang w:val="en-US" w:eastAsia="en-GB"/>
        </w:rPr>
        <w:t>Equity Markets (Figures 1-2, Table A1)</w:t>
      </w:r>
      <w:r w:rsidRPr="00272724">
        <w:rPr>
          <w:rFonts w:ascii="Palatino Linotype" w:eastAsia="Times New Roman" w:hAnsi="Palatino Linotype"/>
          <w:b/>
          <w:sz w:val="22"/>
          <w:szCs w:val="22"/>
          <w:lang w:val="en-US" w:eastAsia="en-GB"/>
        </w:rPr>
        <w:t>-</w:t>
      </w:r>
    </w:p>
    <w:p w:rsidR="009C796D" w:rsidRPr="00272724" w:rsidRDefault="009C796D" w:rsidP="009C796D">
      <w:pPr>
        <w:numPr>
          <w:ilvl w:val="0"/>
          <w:numId w:val="16"/>
        </w:numPr>
        <w:spacing w:line="276" w:lineRule="auto"/>
        <w:jc w:val="both"/>
        <w:rPr>
          <w:rFonts w:ascii="Palatino Linotype" w:eastAsia="Times New Roman" w:hAnsi="Palatino Linotype"/>
          <w:bCs/>
          <w:color w:val="FF0000"/>
          <w:sz w:val="22"/>
          <w:szCs w:val="22"/>
          <w:lang w:val="en-US" w:eastAsia="en-GB"/>
        </w:rPr>
      </w:pPr>
      <w:r w:rsidRPr="00272724">
        <w:rPr>
          <w:rFonts w:ascii="Palatino Linotype" w:eastAsia="Times New Roman" w:hAnsi="Palatino Linotype"/>
          <w:bCs/>
          <w:sz w:val="22"/>
          <w:szCs w:val="22"/>
          <w:lang w:val="en-US" w:eastAsia="en-GB"/>
        </w:rPr>
        <w:t xml:space="preserve">In the month of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highest annualized monthly volatility amongst the BRICS countries was observed in Russian Traded (</w:t>
      </w:r>
      <w:r w:rsidRPr="00F54EEC">
        <w:rPr>
          <w:rFonts w:ascii="Palatino Linotype" w:eastAsia="Times New Roman" w:hAnsi="Palatino Linotype"/>
          <w:bCs/>
          <w:sz w:val="22"/>
          <w:szCs w:val="22"/>
          <w:lang w:val="en-US" w:eastAsia="en-GB"/>
        </w:rPr>
        <w:t>37.1</w:t>
      </w:r>
      <w:r w:rsidRPr="00272724">
        <w:rPr>
          <w:rFonts w:ascii="Palatino Linotype" w:eastAsia="Times New Roman" w:hAnsi="Palatino Linotype"/>
          <w:bCs/>
          <w:sz w:val="22"/>
          <w:szCs w:val="22"/>
          <w:lang w:val="en-US" w:eastAsia="en-GB"/>
        </w:rPr>
        <w:t xml:space="preserve"> per cent) followed by Brazil IBOVESPA  (</w:t>
      </w:r>
      <w:r w:rsidRPr="00F54EEC">
        <w:rPr>
          <w:rFonts w:ascii="Palatino Linotype" w:eastAsia="Times New Roman" w:hAnsi="Palatino Linotype"/>
          <w:sz w:val="22"/>
          <w:szCs w:val="22"/>
          <w:lang w:val="en-IN" w:eastAsia="en-IN"/>
        </w:rPr>
        <w:t>21.5</w:t>
      </w:r>
      <w:r w:rsidRPr="00272724">
        <w:rPr>
          <w:rFonts w:ascii="Palatino Linotype" w:eastAsia="Times New Roman" w:hAnsi="Palatino Linotype"/>
          <w:sz w:val="22"/>
          <w:szCs w:val="22"/>
          <w:lang w:val="en-IN" w:eastAsia="en-IN"/>
        </w:rPr>
        <w:t xml:space="preserve"> per cent</w:t>
      </w:r>
      <w:r w:rsidRPr="00272724">
        <w:rPr>
          <w:rFonts w:ascii="Palatino Linotype" w:eastAsia="Times New Roman" w:hAnsi="Palatino Linotype"/>
          <w:bCs/>
          <w:sz w:val="22"/>
          <w:szCs w:val="22"/>
          <w:lang w:val="en-US" w:eastAsia="en-GB"/>
        </w:rPr>
        <w:t>) and South Africa FTSE (</w:t>
      </w:r>
      <w:r w:rsidRPr="00F54EEC">
        <w:rPr>
          <w:rFonts w:ascii="Palatino Linotype" w:eastAsia="Times New Roman" w:hAnsi="Palatino Linotype"/>
          <w:bCs/>
          <w:sz w:val="22"/>
          <w:szCs w:val="22"/>
          <w:lang w:val="en-US" w:eastAsia="en-GB"/>
        </w:rPr>
        <w:t>16.4</w:t>
      </w:r>
      <w:r w:rsidRPr="00272724">
        <w:rPr>
          <w:rFonts w:ascii="Palatino Linotype" w:eastAsia="Times New Roman" w:hAnsi="Palatino Linotype"/>
          <w:bCs/>
          <w:sz w:val="22"/>
          <w:szCs w:val="22"/>
          <w:lang w:val="en-US" w:eastAsia="en-GB"/>
        </w:rPr>
        <w:t xml:space="preserve"> per cent). The lowest annualized volatility among BRICS was observed in</w:t>
      </w:r>
      <w:r w:rsidRPr="004710AB">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Shanghai Composite (</w:t>
      </w:r>
      <w:r w:rsidRPr="00F54EEC">
        <w:rPr>
          <w:rFonts w:ascii="Palatino Linotype" w:eastAsia="Times New Roman" w:hAnsi="Palatino Linotype"/>
          <w:bCs/>
          <w:sz w:val="22"/>
          <w:szCs w:val="22"/>
          <w:lang w:val="en-US" w:eastAsia="en-GB"/>
        </w:rPr>
        <w:t>12.6</w:t>
      </w:r>
      <w:r w:rsidRPr="00272724">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Sensex (</w:t>
      </w:r>
      <w:r w:rsidRPr="00F54EEC">
        <w:rPr>
          <w:rFonts w:ascii="Palatino Linotype" w:eastAsia="Times New Roman" w:hAnsi="Palatino Linotype"/>
          <w:bCs/>
          <w:sz w:val="22"/>
          <w:szCs w:val="22"/>
          <w:lang w:val="en-US" w:eastAsia="en-GB"/>
        </w:rPr>
        <w:t>13.8</w:t>
      </w:r>
      <w:r w:rsidRPr="00272724">
        <w:rPr>
          <w:rFonts w:ascii="Palatino Linotype" w:eastAsia="Times New Roman" w:hAnsi="Palatino Linotype"/>
          <w:bCs/>
          <w:sz w:val="22"/>
          <w:szCs w:val="22"/>
          <w:lang w:val="en-US" w:eastAsia="en-GB"/>
        </w:rPr>
        <w:t xml:space="preserve"> per cent), and</w:t>
      </w:r>
      <w:r w:rsidRPr="004710AB">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Nifty 50 (</w:t>
      </w:r>
      <w:r w:rsidRPr="00F54EEC">
        <w:rPr>
          <w:rFonts w:ascii="Palatino Linotype" w:eastAsia="Times New Roman" w:hAnsi="Palatino Linotype"/>
          <w:bCs/>
          <w:sz w:val="22"/>
          <w:szCs w:val="22"/>
          <w:lang w:val="en-US" w:eastAsia="en-GB"/>
        </w:rPr>
        <w:t>13.1</w:t>
      </w:r>
      <w:r w:rsidRPr="00272724">
        <w:rPr>
          <w:rFonts w:ascii="Palatino Linotype" w:eastAsia="Times New Roman" w:hAnsi="Palatino Linotype"/>
          <w:bCs/>
          <w:sz w:val="22"/>
          <w:szCs w:val="22"/>
          <w:lang w:val="en-US" w:eastAsia="en-GB"/>
        </w:rPr>
        <w:t xml:space="preserve"> per cent). Among the developed markets, highest annualized volatility was observed in </w:t>
      </w:r>
      <w:r>
        <w:rPr>
          <w:rFonts w:ascii="Palatino Linotype" w:eastAsia="Times New Roman" w:hAnsi="Palatino Linotype"/>
          <w:bCs/>
          <w:sz w:val="22"/>
          <w:szCs w:val="22"/>
          <w:lang w:val="en-US" w:eastAsia="en-GB"/>
        </w:rPr>
        <w:t>France CAC 40</w:t>
      </w:r>
      <w:r w:rsidRPr="00272724">
        <w:rPr>
          <w:rFonts w:ascii="Palatino Linotype" w:eastAsia="Times New Roman" w:hAnsi="Palatino Linotype"/>
          <w:bCs/>
          <w:sz w:val="22"/>
          <w:szCs w:val="22"/>
          <w:lang w:val="en-US" w:eastAsia="en-GB"/>
        </w:rPr>
        <w:t xml:space="preserve"> (</w:t>
      </w:r>
      <w:r w:rsidRPr="000901B1">
        <w:rPr>
          <w:rFonts w:ascii="Palatino Linotype" w:eastAsia="Times New Roman" w:hAnsi="Palatino Linotype"/>
          <w:bCs/>
          <w:sz w:val="22"/>
          <w:szCs w:val="22"/>
          <w:lang w:val="en-US" w:eastAsia="en-GB"/>
        </w:rPr>
        <w:t>28.5</w:t>
      </w:r>
      <w:r w:rsidRPr="00272724">
        <w:rPr>
          <w:rFonts w:ascii="Palatino Linotype" w:eastAsia="Times New Roman" w:hAnsi="Palatino Linotype"/>
          <w:bCs/>
          <w:sz w:val="22"/>
          <w:szCs w:val="22"/>
          <w:lang w:val="en-US" w:eastAsia="en-GB"/>
        </w:rPr>
        <w:t xml:space="preserve"> per cent) and the lowest was observed at </w:t>
      </w:r>
      <w:r w:rsidRPr="00120CAA">
        <w:rPr>
          <w:rFonts w:ascii="Palatino Linotype" w:eastAsia="Times New Roman" w:hAnsi="Palatino Linotype"/>
          <w:bCs/>
          <w:sz w:val="22"/>
          <w:szCs w:val="22"/>
          <w:lang w:val="en-US" w:eastAsia="en-GB"/>
        </w:rPr>
        <w:t>Taiwan TAIEX</w:t>
      </w:r>
      <w:r w:rsidRPr="00272724">
        <w:rPr>
          <w:rFonts w:ascii="Palatino Linotype" w:eastAsia="Times New Roman" w:hAnsi="Palatino Linotype"/>
          <w:bCs/>
          <w:sz w:val="22"/>
          <w:szCs w:val="22"/>
          <w:lang w:val="en-US" w:eastAsia="en-GB"/>
        </w:rPr>
        <w:t xml:space="preserve"> (</w:t>
      </w:r>
      <w:r w:rsidRPr="000901B1">
        <w:rPr>
          <w:rFonts w:ascii="Palatino Linotype" w:eastAsia="Times New Roman" w:hAnsi="Palatino Linotype"/>
          <w:bCs/>
          <w:sz w:val="22"/>
          <w:szCs w:val="22"/>
          <w:lang w:val="en-US" w:eastAsia="en-GB"/>
        </w:rPr>
        <w:t>12.3</w:t>
      </w:r>
      <w:r w:rsidRPr="00272724">
        <w:rPr>
          <w:rFonts w:ascii="Palatino Linotype" w:eastAsia="Times New Roman" w:hAnsi="Palatino Linotype"/>
          <w:bCs/>
          <w:sz w:val="22"/>
          <w:szCs w:val="22"/>
          <w:lang w:val="en-US" w:eastAsia="en-GB"/>
        </w:rPr>
        <w:t xml:space="preserve"> per cent)). </w:t>
      </w:r>
    </w:p>
    <w:p w:rsidR="009C796D" w:rsidRPr="00272724" w:rsidRDefault="009C796D" w:rsidP="009C796D">
      <w:pPr>
        <w:spacing w:line="276" w:lineRule="auto"/>
        <w:ind w:left="357"/>
        <w:jc w:val="both"/>
        <w:rPr>
          <w:rFonts w:ascii="Garamond" w:eastAsia="Times New Roman" w:hAnsi="Garamond"/>
          <w:bCs/>
          <w:color w:val="FF0000"/>
          <w:lang w:val="en-US" w:eastAsia="en-GB"/>
        </w:rPr>
      </w:pPr>
    </w:p>
    <w:p w:rsidR="009C796D" w:rsidRPr="00272724" w:rsidRDefault="009C796D" w:rsidP="00D82FC4">
      <w:pPr>
        <w:numPr>
          <w:ilvl w:val="0"/>
          <w:numId w:val="16"/>
        </w:numPr>
        <w:spacing w:line="276" w:lineRule="auto"/>
        <w:contextualSpacing/>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In most of the analyzed markets</w:t>
      </w:r>
      <w:r w:rsidRPr="00272724">
        <w:rPr>
          <w:rFonts w:ascii="Palatino Linotype" w:eastAsia="Times New Roman" w:hAnsi="Palatino Linotype"/>
          <w:bCs/>
          <w:sz w:val="22"/>
          <w:szCs w:val="22"/>
          <w:vertAlign w:val="superscript"/>
          <w:lang w:val="en-US" w:eastAsia="en-GB"/>
        </w:rPr>
        <w:footnoteReference w:id="4"/>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an</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increase</w:t>
      </w:r>
      <w:r w:rsidRPr="00272724">
        <w:rPr>
          <w:rFonts w:ascii="Palatino Linotype" w:eastAsia="Times New Roman" w:hAnsi="Palatino Linotype"/>
          <w:bCs/>
          <w:sz w:val="22"/>
          <w:szCs w:val="22"/>
          <w:lang w:val="en-US" w:eastAsia="en-GB"/>
        </w:rPr>
        <w:t xml:space="preserve"> was observed in indices during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w:t>
      </w:r>
      <w:r>
        <w:rPr>
          <w:rFonts w:ascii="Palatino Linotype" w:eastAsia="Times New Roman" w:hAnsi="Palatino Linotype"/>
          <w:bCs/>
          <w:sz w:val="22"/>
          <w:szCs w:val="22"/>
          <w:lang w:val="en-US" w:eastAsia="en-GB"/>
        </w:rPr>
        <w:t xml:space="preserve"> over the previous month</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Amongst</w:t>
      </w:r>
      <w:r w:rsidRPr="00272724">
        <w:rPr>
          <w:rFonts w:ascii="Palatino Linotype" w:eastAsia="Times New Roman" w:hAnsi="Palatino Linotype"/>
          <w:bCs/>
          <w:sz w:val="22"/>
          <w:szCs w:val="22"/>
          <w:lang w:val="en-US" w:eastAsia="en-GB"/>
        </w:rPr>
        <w:t xml:space="preserve"> BRICS nations</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an increase was observed in Russia Traded (</w:t>
      </w:r>
      <w:r w:rsidRPr="002D5772">
        <w:rPr>
          <w:rFonts w:ascii="Palatino Linotype" w:eastAsia="Times New Roman" w:hAnsi="Palatino Linotype"/>
          <w:bCs/>
          <w:sz w:val="22"/>
          <w:szCs w:val="22"/>
          <w:lang w:val="en-US" w:eastAsia="en-GB"/>
        </w:rPr>
        <w:t>22.8</w:t>
      </w:r>
      <w:r w:rsidRPr="00272724">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followed by</w:t>
      </w:r>
      <w:r w:rsidRPr="002D5772">
        <w:rPr>
          <w:rFonts w:ascii="Palatino Linotype" w:eastAsia="Times New Roman" w:hAnsi="Palatino Linotype"/>
          <w:bCs/>
          <w:sz w:val="22"/>
          <w:szCs w:val="22"/>
          <w:lang w:val="en-US" w:eastAsia="en-GB"/>
        </w:rPr>
        <w:t xml:space="preserve"> BRAZIL IBOVESPA </w:t>
      </w:r>
      <w:r w:rsidRPr="00272724">
        <w:rPr>
          <w:rFonts w:ascii="Palatino Linotype" w:eastAsia="Times New Roman" w:hAnsi="Palatino Linotype"/>
          <w:bCs/>
          <w:sz w:val="22"/>
          <w:szCs w:val="22"/>
          <w:lang w:val="en-US" w:eastAsia="en-GB"/>
        </w:rPr>
        <w:t>(</w:t>
      </w:r>
      <w:r w:rsidRPr="002D5772">
        <w:rPr>
          <w:rFonts w:ascii="Palatino Linotype" w:eastAsia="Times New Roman" w:hAnsi="Palatino Linotype"/>
          <w:bCs/>
          <w:sz w:val="22"/>
          <w:szCs w:val="22"/>
          <w:lang w:val="en-US" w:eastAsia="en-GB"/>
        </w:rPr>
        <w:t>15.9</w:t>
      </w:r>
      <w:r w:rsidRPr="00272724">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India (</w:t>
      </w:r>
      <w:r w:rsidR="00D82FC4" w:rsidRPr="00D82FC4">
        <w:rPr>
          <w:rFonts w:ascii="Palatino Linotype" w:eastAsia="Times New Roman" w:hAnsi="Palatino Linotype"/>
          <w:bCs/>
          <w:sz w:val="22"/>
          <w:szCs w:val="22"/>
          <w:lang w:val="en-US" w:eastAsia="en-GB"/>
        </w:rPr>
        <w:t>India (S&amp;P BSE SENSEX; 11.5 per cent and Nifty 50; 11.4 per cent)</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The </w:t>
      </w:r>
      <w:r>
        <w:rPr>
          <w:rFonts w:ascii="Palatino Linotype" w:eastAsia="Times New Roman" w:hAnsi="Palatino Linotype"/>
          <w:bCs/>
          <w:sz w:val="22"/>
          <w:szCs w:val="22"/>
          <w:lang w:val="en-US" w:eastAsia="en-GB"/>
        </w:rPr>
        <w:t>lowest</w:t>
      </w:r>
      <w:r w:rsidRPr="00272724">
        <w:rPr>
          <w:rFonts w:ascii="Palatino Linotype" w:eastAsia="Times New Roman" w:hAnsi="Palatino Linotype"/>
          <w:bCs/>
          <w:sz w:val="22"/>
          <w:szCs w:val="22"/>
          <w:lang w:val="en-US" w:eastAsia="en-GB"/>
        </w:rPr>
        <w:t xml:space="preserve"> monthly </w:t>
      </w:r>
      <w:r>
        <w:rPr>
          <w:rFonts w:ascii="Palatino Linotype" w:eastAsia="Times New Roman" w:hAnsi="Palatino Linotype"/>
          <w:bCs/>
          <w:sz w:val="22"/>
          <w:szCs w:val="22"/>
          <w:lang w:val="en-US" w:eastAsia="en-GB"/>
        </w:rPr>
        <w:t>increase</w:t>
      </w:r>
      <w:r w:rsidRPr="00272724">
        <w:rPr>
          <w:rFonts w:ascii="Palatino Linotype" w:eastAsia="Times New Roman" w:hAnsi="Palatino Linotype"/>
          <w:bCs/>
          <w:sz w:val="22"/>
          <w:szCs w:val="22"/>
          <w:lang w:val="en-US" w:eastAsia="en-GB"/>
        </w:rPr>
        <w:t xml:space="preserve"> was observed in </w:t>
      </w:r>
      <w:r w:rsidRPr="006B1E4E">
        <w:rPr>
          <w:rFonts w:ascii="Palatino Linotype" w:eastAsia="Times New Roman" w:hAnsi="Palatino Linotype"/>
          <w:bCs/>
          <w:sz w:val="22"/>
          <w:szCs w:val="22"/>
          <w:lang w:val="en-US" w:eastAsia="en-GB"/>
        </w:rPr>
        <w:t>Shanghai SE Composite</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5.2</w:t>
      </w:r>
      <w:r w:rsidRPr="00272724">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followed by South Africa FTSE (</w:t>
      </w:r>
      <w:r w:rsidRPr="009D670A">
        <w:rPr>
          <w:rFonts w:ascii="Palatino Linotype" w:eastAsia="Times New Roman" w:hAnsi="Palatino Linotype"/>
          <w:bCs/>
          <w:sz w:val="22"/>
          <w:szCs w:val="22"/>
          <w:lang w:val="en-US" w:eastAsia="en-GB"/>
        </w:rPr>
        <w:t>10.5</w:t>
      </w:r>
      <w:r w:rsidRPr="00272724">
        <w:rPr>
          <w:rFonts w:ascii="Palatino Linotype" w:eastAsia="Times New Roman" w:hAnsi="Palatino Linotype"/>
          <w:bCs/>
          <w:sz w:val="22"/>
          <w:szCs w:val="22"/>
          <w:lang w:val="en-US" w:eastAsia="en-GB"/>
        </w:rPr>
        <w:t xml:space="preserve"> per cent). Among the developed economies, in the month of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highest indices growth was observed for </w:t>
      </w:r>
      <w:r>
        <w:rPr>
          <w:rFonts w:ascii="Palatino Linotype" w:eastAsia="Times New Roman" w:hAnsi="Palatino Linotype"/>
          <w:bCs/>
          <w:sz w:val="22"/>
          <w:szCs w:val="22"/>
          <w:lang w:val="en-US" w:eastAsia="en-GB"/>
        </w:rPr>
        <w:t>France CAC 40</w:t>
      </w:r>
      <w:r w:rsidRPr="00272724">
        <w:rPr>
          <w:rFonts w:ascii="Palatino Linotype" w:eastAsia="Times New Roman" w:hAnsi="Palatino Linotype"/>
          <w:bCs/>
          <w:sz w:val="22"/>
          <w:szCs w:val="22"/>
          <w:lang w:val="en-US" w:eastAsia="en-GB"/>
        </w:rPr>
        <w:t xml:space="preserve"> (</w:t>
      </w:r>
      <w:r w:rsidRPr="004F4FAC">
        <w:rPr>
          <w:rFonts w:ascii="Palatino Linotype" w:eastAsia="Times New Roman" w:hAnsi="Palatino Linotype"/>
          <w:bCs/>
          <w:sz w:val="22"/>
          <w:szCs w:val="22"/>
          <w:lang w:val="en-US" w:eastAsia="en-GB"/>
        </w:rPr>
        <w:t>20.1</w:t>
      </w:r>
      <w:r w:rsidRPr="00272724">
        <w:rPr>
          <w:rFonts w:ascii="Palatino Linotype" w:eastAsia="Times New Roman" w:hAnsi="Palatino Linotype"/>
          <w:bCs/>
          <w:sz w:val="22"/>
          <w:szCs w:val="22"/>
          <w:lang w:val="en-US" w:eastAsia="en-GB"/>
        </w:rPr>
        <w:t xml:space="preserve"> per cent) followed by </w:t>
      </w:r>
      <w:r>
        <w:rPr>
          <w:rFonts w:ascii="Palatino Linotype" w:eastAsia="Times New Roman" w:hAnsi="Palatino Linotype"/>
          <w:bCs/>
          <w:sz w:val="22"/>
          <w:szCs w:val="22"/>
          <w:lang w:val="en-US" w:eastAsia="en-GB"/>
        </w:rPr>
        <w:t>Singapore</w:t>
      </w:r>
      <w:r w:rsidRPr="004F4FAC">
        <w:rPr>
          <w:rFonts w:ascii="Palatino Linotype" w:eastAsia="Times New Roman" w:hAnsi="Palatino Linotype"/>
          <w:bCs/>
          <w:sz w:val="22"/>
          <w:szCs w:val="22"/>
          <w:lang w:val="en-US" w:eastAsia="en-GB"/>
        </w:rPr>
        <w:t xml:space="preserve"> STI</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15.8</w:t>
      </w:r>
      <w:r w:rsidRPr="00272724">
        <w:rPr>
          <w:rFonts w:ascii="Palatino Linotype" w:eastAsia="Times New Roman" w:hAnsi="Palatino Linotype"/>
          <w:bCs/>
          <w:sz w:val="22"/>
          <w:szCs w:val="22"/>
          <w:lang w:val="en-US" w:eastAsia="en-GB"/>
        </w:rPr>
        <w:t xml:space="preserve"> per cent). </w:t>
      </w:r>
      <w:r>
        <w:rPr>
          <w:rFonts w:ascii="Palatino Linotype" w:eastAsia="Times New Roman" w:hAnsi="Palatino Linotype"/>
          <w:bCs/>
          <w:sz w:val="22"/>
          <w:szCs w:val="22"/>
          <w:lang w:val="en-US" w:eastAsia="en-GB"/>
        </w:rPr>
        <w:t xml:space="preserve">Lowest </w:t>
      </w:r>
      <w:r w:rsidRPr="00272724">
        <w:rPr>
          <w:rFonts w:ascii="Palatino Linotype" w:eastAsia="Times New Roman" w:hAnsi="Palatino Linotype"/>
          <w:bCs/>
          <w:sz w:val="22"/>
          <w:szCs w:val="22"/>
          <w:lang w:val="en-US" w:eastAsia="en-GB"/>
        </w:rPr>
        <w:t xml:space="preserve">monthly growth was observed in </w:t>
      </w:r>
      <w:r>
        <w:rPr>
          <w:rFonts w:ascii="Palatino Linotype" w:eastAsia="Times New Roman" w:hAnsi="Palatino Linotype"/>
          <w:bCs/>
          <w:sz w:val="22"/>
          <w:szCs w:val="22"/>
          <w:lang w:val="en-US" w:eastAsia="en-GB"/>
        </w:rPr>
        <w:t xml:space="preserve">Hong Kong </w:t>
      </w:r>
      <w:r w:rsidRPr="005B50D3">
        <w:rPr>
          <w:rFonts w:ascii="Palatino Linotype" w:eastAsia="Times New Roman" w:hAnsi="Palatino Linotype"/>
          <w:bCs/>
          <w:sz w:val="22"/>
          <w:szCs w:val="22"/>
          <w:lang w:val="en-US" w:eastAsia="en-GB"/>
        </w:rPr>
        <w:t xml:space="preserve">Hang Seng </w:t>
      </w:r>
      <w:r w:rsidRPr="00272724">
        <w:rPr>
          <w:rFonts w:ascii="Palatino Linotype" w:eastAsia="Times New Roman" w:hAnsi="Palatino Linotype"/>
          <w:bCs/>
          <w:sz w:val="22"/>
          <w:szCs w:val="22"/>
          <w:lang w:val="en-US" w:eastAsia="en-GB"/>
        </w:rPr>
        <w:t>(9.</w:t>
      </w:r>
      <w:r>
        <w:rPr>
          <w:rFonts w:ascii="Palatino Linotype" w:eastAsia="Times New Roman" w:hAnsi="Palatino Linotype"/>
          <w:bCs/>
          <w:sz w:val="22"/>
          <w:szCs w:val="22"/>
          <w:lang w:val="en-US" w:eastAsia="en-GB"/>
        </w:rPr>
        <w:t>3</w:t>
      </w:r>
      <w:r w:rsidRPr="00272724">
        <w:rPr>
          <w:rFonts w:ascii="Palatino Linotype" w:eastAsia="Times New Roman" w:hAnsi="Palatino Linotype"/>
          <w:bCs/>
          <w:sz w:val="22"/>
          <w:szCs w:val="22"/>
          <w:lang w:val="en-US" w:eastAsia="en-GB"/>
        </w:rPr>
        <w:t xml:space="preserve"> per cent) followed by </w:t>
      </w:r>
      <w:r w:rsidRPr="00874ED7">
        <w:rPr>
          <w:rFonts w:ascii="Palatino Linotype" w:eastAsia="Times New Roman" w:hAnsi="Palatino Linotype"/>
          <w:bCs/>
          <w:sz w:val="22"/>
          <w:szCs w:val="22"/>
          <w:lang w:val="en-US" w:eastAsia="en-GB"/>
        </w:rPr>
        <w:t xml:space="preserve">Taiwan Taiex </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9.4</w:t>
      </w:r>
      <w:r w:rsidRPr="00272724">
        <w:rPr>
          <w:rFonts w:ascii="Palatino Linotype" w:eastAsia="Times New Roman" w:hAnsi="Palatino Linotype"/>
          <w:bCs/>
          <w:sz w:val="22"/>
          <w:szCs w:val="22"/>
          <w:lang w:val="en-US" w:eastAsia="en-GB"/>
        </w:rPr>
        <w:t xml:space="preserve"> per cent), US </w:t>
      </w:r>
      <w:r w:rsidRPr="00874ED7">
        <w:rPr>
          <w:rFonts w:ascii="Palatino Linotype" w:eastAsia="Times New Roman" w:hAnsi="Palatino Linotype"/>
          <w:bCs/>
          <w:sz w:val="22"/>
          <w:szCs w:val="22"/>
          <w:lang w:val="en-US" w:eastAsia="en-GB"/>
        </w:rPr>
        <w:t xml:space="preserve">Nasdaq Composite </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11.8</w:t>
      </w:r>
      <w:r w:rsidRPr="00272724">
        <w:rPr>
          <w:rFonts w:ascii="Palatino Linotype" w:eastAsia="Times New Roman" w:hAnsi="Palatino Linotype"/>
          <w:bCs/>
          <w:sz w:val="22"/>
          <w:szCs w:val="22"/>
          <w:lang w:val="en-US" w:eastAsia="en-GB"/>
        </w:rPr>
        <w:t xml:space="preserve"> per cent) and </w:t>
      </w:r>
      <w:r w:rsidRPr="001353DF">
        <w:rPr>
          <w:rFonts w:ascii="Palatino Linotype" w:eastAsia="Times New Roman" w:hAnsi="Palatino Linotype"/>
          <w:bCs/>
          <w:sz w:val="22"/>
          <w:szCs w:val="22"/>
          <w:lang w:val="en-US" w:eastAsia="en-GB"/>
        </w:rPr>
        <w:t>Dow Jones Indus. Avg</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11.8</w:t>
      </w:r>
      <w:r w:rsidRPr="00272724">
        <w:rPr>
          <w:rFonts w:ascii="Palatino Linotype" w:eastAsia="Times New Roman" w:hAnsi="Palatino Linotype"/>
          <w:bCs/>
          <w:sz w:val="22"/>
          <w:szCs w:val="22"/>
          <w:lang w:val="en-US" w:eastAsia="en-GB"/>
        </w:rPr>
        <w:t xml:space="preserve"> per cent). Growth for</w:t>
      </w:r>
      <w:r w:rsidRPr="00F52AB0">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Japan Nikkei,</w:t>
      </w:r>
      <w:r w:rsidRPr="00F52AB0">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Germany DAX</w:t>
      </w:r>
      <w:r w:rsidRPr="00272724">
        <w:rPr>
          <w:rFonts w:ascii="Palatino Linotype" w:eastAsia="Times New Roman" w:hAnsi="Palatino Linotype"/>
          <w:bCs/>
          <w:sz w:val="22"/>
          <w:szCs w:val="22"/>
          <w:lang w:val="en-US" w:eastAsia="en-GB"/>
        </w:rPr>
        <w:t xml:space="preserve"> and </w:t>
      </w:r>
      <w:r>
        <w:rPr>
          <w:rFonts w:ascii="Palatino Linotype" w:eastAsia="Times New Roman" w:hAnsi="Palatino Linotype"/>
          <w:bCs/>
          <w:sz w:val="22"/>
          <w:szCs w:val="22"/>
          <w:lang w:val="en-US" w:eastAsia="en-GB"/>
        </w:rPr>
        <w:t xml:space="preserve">UK FTSE </w:t>
      </w:r>
      <w:r w:rsidRPr="00272724">
        <w:rPr>
          <w:rFonts w:ascii="Palatino Linotype" w:eastAsia="Times New Roman" w:hAnsi="Palatino Linotype"/>
          <w:bCs/>
          <w:sz w:val="22"/>
          <w:szCs w:val="22"/>
          <w:lang w:val="en-US" w:eastAsia="en-GB"/>
        </w:rPr>
        <w:t xml:space="preserve">was </w:t>
      </w:r>
      <w:r w:rsidRPr="00F52AB0">
        <w:rPr>
          <w:rFonts w:ascii="Palatino Linotype" w:eastAsia="Times New Roman" w:hAnsi="Palatino Linotype"/>
          <w:bCs/>
          <w:sz w:val="22"/>
          <w:szCs w:val="22"/>
          <w:lang w:val="en-US" w:eastAsia="en-GB"/>
        </w:rPr>
        <w:t>15.0</w:t>
      </w:r>
      <w:r w:rsidRPr="00272724">
        <w:rPr>
          <w:rFonts w:ascii="Palatino Linotype" w:eastAsia="Times New Roman" w:hAnsi="Palatino Linotype"/>
          <w:bCs/>
          <w:sz w:val="22"/>
          <w:szCs w:val="22"/>
          <w:lang w:val="en-US" w:eastAsia="en-GB"/>
        </w:rPr>
        <w:t xml:space="preserve">, </w:t>
      </w:r>
      <w:r w:rsidRPr="00F52AB0">
        <w:rPr>
          <w:rFonts w:ascii="Palatino Linotype" w:eastAsia="Times New Roman" w:hAnsi="Palatino Linotype"/>
          <w:bCs/>
          <w:sz w:val="22"/>
          <w:szCs w:val="22"/>
          <w:lang w:val="en-US" w:eastAsia="en-GB"/>
        </w:rPr>
        <w:t>15.0</w:t>
      </w:r>
      <w:r w:rsidRPr="00272724">
        <w:rPr>
          <w:rFonts w:ascii="Palatino Linotype" w:eastAsia="Times New Roman" w:hAnsi="Palatino Linotype"/>
          <w:bCs/>
          <w:sz w:val="22"/>
          <w:szCs w:val="22"/>
          <w:lang w:val="en-US" w:eastAsia="en-GB"/>
        </w:rPr>
        <w:t xml:space="preserve"> and </w:t>
      </w:r>
      <w:r w:rsidRPr="00F52AB0">
        <w:rPr>
          <w:rFonts w:ascii="Palatino Linotype" w:eastAsia="Times New Roman" w:hAnsi="Palatino Linotype"/>
          <w:bCs/>
          <w:sz w:val="22"/>
          <w:szCs w:val="22"/>
          <w:lang w:val="en-US" w:eastAsia="en-GB"/>
        </w:rPr>
        <w:t>12.4</w:t>
      </w:r>
      <w:r w:rsidRPr="00272724">
        <w:rPr>
          <w:rFonts w:ascii="Palatino Linotype" w:eastAsia="Times New Roman" w:hAnsi="Palatino Linotype"/>
          <w:bCs/>
          <w:sz w:val="22"/>
          <w:szCs w:val="22"/>
          <w:lang w:val="en-US" w:eastAsia="en-GB"/>
        </w:rPr>
        <w:t xml:space="preserve"> per cent respectively. </w:t>
      </w:r>
    </w:p>
    <w:p w:rsidR="009C796D" w:rsidRPr="00272724" w:rsidRDefault="009C796D" w:rsidP="009C796D">
      <w:pPr>
        <w:spacing w:line="276" w:lineRule="auto"/>
        <w:jc w:val="both"/>
        <w:rPr>
          <w:rFonts w:ascii="Palatino Linotype" w:eastAsia="Times New Roman" w:hAnsi="Palatino Linotype"/>
          <w:bCs/>
          <w:sz w:val="22"/>
          <w:szCs w:val="22"/>
          <w:lang w:eastAsia="en-GB"/>
        </w:rPr>
      </w:pPr>
    </w:p>
    <w:p w:rsidR="009C796D" w:rsidRPr="00272724" w:rsidRDefault="009C796D" w:rsidP="009C796D">
      <w:pPr>
        <w:rPr>
          <w:rFonts w:ascii="Garamond" w:hAnsi="Garamond"/>
          <w:b/>
          <w:bCs/>
          <w:noProof/>
          <w:lang w:val="en-US"/>
        </w:rPr>
      </w:pPr>
      <w:r w:rsidRPr="00272724">
        <w:rPr>
          <w:rFonts w:ascii="Garamond" w:hAnsi="Garamond"/>
          <w:b/>
          <w:bCs/>
          <w:noProof/>
          <w:lang w:val="en-US"/>
        </w:rPr>
        <w:br w:type="page"/>
      </w:r>
    </w:p>
    <w:p w:rsidR="009C796D" w:rsidRPr="00272724" w:rsidRDefault="009C796D" w:rsidP="009C796D">
      <w:pPr>
        <w:spacing w:line="23" w:lineRule="atLeast"/>
        <w:jc w:val="both"/>
        <w:outlineLvl w:val="0"/>
        <w:rPr>
          <w:rFonts w:ascii="Garamond" w:hAnsi="Garamond"/>
          <w:b/>
          <w:bCs/>
          <w:szCs w:val="22"/>
        </w:rPr>
      </w:pPr>
      <w:r w:rsidRPr="00272724">
        <w:rPr>
          <w:rFonts w:ascii="Garamond" w:hAnsi="Garamond"/>
          <w:b/>
          <w:bCs/>
          <w:noProof/>
          <w:lang w:val="en-US"/>
        </w:rPr>
        <w:t>Figure</w:t>
      </w:r>
      <w:r w:rsidRPr="00272724">
        <w:rPr>
          <w:rFonts w:ascii="Garamond" w:hAnsi="Garamond"/>
          <w:b/>
          <w:bCs/>
          <w:szCs w:val="22"/>
        </w:rPr>
        <w:t xml:space="preserve"> 1: Stock Market Trends in Selected Developed Markets</w:t>
      </w:r>
    </w:p>
    <w:p w:rsidR="009C796D" w:rsidRPr="00272724" w:rsidRDefault="009C796D" w:rsidP="009C796D">
      <w:pPr>
        <w:spacing w:line="23" w:lineRule="atLeast"/>
        <w:jc w:val="both"/>
        <w:outlineLvl w:val="0"/>
        <w:rPr>
          <w:rFonts w:ascii="Garamond" w:hAnsi="Garamond"/>
          <w:bCs/>
          <w:sz w:val="22"/>
          <w:szCs w:val="22"/>
        </w:rPr>
      </w:pPr>
    </w:p>
    <w:p w:rsidR="009C796D" w:rsidRPr="00272724" w:rsidRDefault="009C796D" w:rsidP="009C796D">
      <w:pPr>
        <w:spacing w:line="23" w:lineRule="atLeast"/>
        <w:jc w:val="both"/>
        <w:outlineLvl w:val="0"/>
        <w:rPr>
          <w:rFonts w:ascii="Garamond" w:hAnsi="Garamond"/>
          <w:bCs/>
          <w:sz w:val="18"/>
          <w:szCs w:val="18"/>
        </w:rPr>
      </w:pPr>
      <w:r w:rsidRPr="002518BB">
        <w:rPr>
          <w:rFonts w:ascii="Garamond" w:hAnsi="Garamond"/>
          <w:bCs/>
          <w:noProof/>
          <w:sz w:val="18"/>
          <w:szCs w:val="18"/>
          <w:lang w:val="en-IN" w:eastAsia="en-IN" w:bidi="hi-IN"/>
        </w:rPr>
        <w:drawing>
          <wp:inline distT="0" distB="0" distL="0" distR="0">
            <wp:extent cx="5953125" cy="3724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5" cy="3724275"/>
                    </a:xfrm>
                    <a:prstGeom prst="rect">
                      <a:avLst/>
                    </a:prstGeom>
                    <a:noFill/>
                    <a:ln>
                      <a:noFill/>
                    </a:ln>
                  </pic:spPr>
                </pic:pic>
              </a:graphicData>
            </a:graphic>
          </wp:inline>
        </w:drawing>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 xml:space="preserve">Note: All indices have been normalised to 100 on </w:t>
      </w:r>
      <w:r>
        <w:rPr>
          <w:rFonts w:ascii="Garamond" w:hAnsi="Garamond"/>
          <w:bCs/>
          <w:sz w:val="18"/>
          <w:szCs w:val="18"/>
        </w:rPr>
        <w:t>30 November</w:t>
      </w:r>
      <w:r w:rsidRPr="00272724">
        <w:rPr>
          <w:rFonts w:ascii="Garamond" w:hAnsi="Garamond"/>
          <w:bCs/>
          <w:sz w:val="18"/>
          <w:szCs w:val="18"/>
        </w:rPr>
        <w:t xml:space="preserve"> 2019.</w:t>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9C796D" w:rsidRPr="00272724" w:rsidRDefault="009C796D" w:rsidP="009C796D">
      <w:pPr>
        <w:spacing w:line="23" w:lineRule="atLeast"/>
        <w:rPr>
          <w:rFonts w:ascii="Garamond" w:hAnsi="Garamond"/>
          <w:bCs/>
          <w:sz w:val="22"/>
          <w:szCs w:val="22"/>
        </w:rPr>
      </w:pPr>
    </w:p>
    <w:p w:rsidR="009C796D" w:rsidRPr="00272724" w:rsidRDefault="009C796D" w:rsidP="009C796D">
      <w:pPr>
        <w:spacing w:line="23" w:lineRule="atLeast"/>
        <w:rPr>
          <w:rFonts w:ascii="Garamond" w:hAnsi="Garamond"/>
          <w:b/>
          <w:bCs/>
          <w:szCs w:val="22"/>
        </w:rPr>
      </w:pPr>
    </w:p>
    <w:p w:rsidR="009C796D" w:rsidRPr="00272724" w:rsidRDefault="009C796D" w:rsidP="009C796D">
      <w:pPr>
        <w:spacing w:line="23" w:lineRule="atLeast"/>
        <w:rPr>
          <w:rFonts w:ascii="Garamond" w:hAnsi="Garamond"/>
          <w:b/>
          <w:bCs/>
          <w:szCs w:val="22"/>
        </w:rPr>
      </w:pPr>
      <w:r w:rsidRPr="00272724">
        <w:rPr>
          <w:rFonts w:ascii="Garamond" w:hAnsi="Garamond"/>
          <w:b/>
          <w:bCs/>
          <w:szCs w:val="22"/>
        </w:rPr>
        <w:t>Figure 2: Stock Market Trends in Selected Emerging Markets</w:t>
      </w:r>
    </w:p>
    <w:p w:rsidR="009C796D" w:rsidRPr="00272724" w:rsidRDefault="009C796D" w:rsidP="009C796D">
      <w:pPr>
        <w:spacing w:line="23" w:lineRule="atLeast"/>
        <w:rPr>
          <w:rFonts w:ascii="Garamond" w:hAnsi="Garamond"/>
          <w:bCs/>
          <w:sz w:val="22"/>
          <w:szCs w:val="22"/>
        </w:rPr>
      </w:pPr>
      <w:r w:rsidRPr="002518BB">
        <w:rPr>
          <w:rFonts w:ascii="Garamond" w:hAnsi="Garamond"/>
          <w:bCs/>
          <w:noProof/>
          <w:sz w:val="22"/>
          <w:szCs w:val="22"/>
          <w:lang w:val="en-IN" w:eastAsia="en-IN" w:bidi="hi-IN"/>
        </w:rPr>
        <w:drawing>
          <wp:inline distT="0" distB="0" distL="0" distR="0">
            <wp:extent cx="5905500" cy="3695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 xml:space="preserve">Note: All indices have been normalised to 100 on </w:t>
      </w:r>
      <w:r>
        <w:rPr>
          <w:rFonts w:ascii="Garamond" w:hAnsi="Garamond"/>
          <w:bCs/>
          <w:sz w:val="18"/>
          <w:szCs w:val="18"/>
        </w:rPr>
        <w:t xml:space="preserve">30 November </w:t>
      </w:r>
      <w:r w:rsidRPr="00272724">
        <w:rPr>
          <w:rFonts w:ascii="Garamond" w:hAnsi="Garamond"/>
          <w:bCs/>
          <w:sz w:val="18"/>
          <w:szCs w:val="18"/>
        </w:rPr>
        <w:t>2019.</w:t>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9C796D" w:rsidRPr="00272724" w:rsidRDefault="009C796D" w:rsidP="009C796D">
      <w:pPr>
        <w:spacing w:line="23" w:lineRule="atLeast"/>
        <w:ind w:left="360"/>
        <w:contextualSpacing/>
        <w:jc w:val="both"/>
        <w:rPr>
          <w:rFonts w:ascii="Garamond" w:hAnsi="Garamond"/>
          <w:bCs/>
          <w:strike/>
          <w:sz w:val="22"/>
          <w:szCs w:val="22"/>
          <w:lang w:val="en-US"/>
        </w:rPr>
      </w:pPr>
    </w:p>
    <w:p w:rsidR="009C796D" w:rsidRPr="00272724" w:rsidRDefault="009C796D" w:rsidP="009C796D">
      <w:pPr>
        <w:rPr>
          <w:rFonts w:ascii="Garamond" w:eastAsia="Times New Roman" w:hAnsi="Garamond"/>
          <w:b/>
          <w:szCs w:val="22"/>
          <w:u w:val="single"/>
          <w:lang w:val="en-US" w:eastAsia="en-GB"/>
        </w:rPr>
      </w:pPr>
      <w:r w:rsidRPr="00272724">
        <w:rPr>
          <w:rFonts w:ascii="Garamond" w:eastAsia="Times New Roman" w:hAnsi="Garamond"/>
          <w:b/>
          <w:szCs w:val="22"/>
          <w:u w:val="single"/>
          <w:lang w:val="en-US" w:eastAsia="en-GB"/>
        </w:rPr>
        <w:br w:type="page"/>
      </w:r>
    </w:p>
    <w:p w:rsidR="009C796D" w:rsidRPr="00272724" w:rsidRDefault="009C796D" w:rsidP="009C796D">
      <w:pPr>
        <w:spacing w:line="360" w:lineRule="auto"/>
        <w:ind w:left="720"/>
        <w:contextualSpacing/>
        <w:rPr>
          <w:rFonts w:ascii="Garamond" w:eastAsia="Times New Roman" w:hAnsi="Garamond"/>
          <w:b/>
          <w:szCs w:val="22"/>
          <w:u w:val="single"/>
          <w:lang w:val="en-US" w:eastAsia="en-GB"/>
        </w:rPr>
      </w:pPr>
    </w:p>
    <w:p w:rsidR="009C796D" w:rsidRPr="00272724" w:rsidRDefault="009C796D" w:rsidP="009C796D">
      <w:pPr>
        <w:spacing w:line="276" w:lineRule="auto"/>
        <w:ind w:left="720"/>
        <w:contextualSpacing/>
        <w:rPr>
          <w:rFonts w:ascii="Garamond" w:hAnsi="Garamond"/>
          <w:bCs/>
          <w:strike/>
          <w:sz w:val="22"/>
          <w:szCs w:val="22"/>
          <w:lang w:val="en-US"/>
        </w:rPr>
      </w:pPr>
      <w:r w:rsidRPr="00272724">
        <w:rPr>
          <w:rFonts w:ascii="Garamond" w:eastAsia="Times New Roman" w:hAnsi="Garamond"/>
          <w:b/>
          <w:sz w:val="22"/>
          <w:szCs w:val="22"/>
          <w:u w:val="single"/>
          <w:lang w:val="en-US" w:eastAsia="en-GB"/>
        </w:rPr>
        <w:t>BOND Market (Figures 3-4)</w:t>
      </w:r>
    </w:p>
    <w:p w:rsidR="009C796D" w:rsidRPr="00272724" w:rsidRDefault="009C796D" w:rsidP="009C796D">
      <w:pPr>
        <w:numPr>
          <w:ilvl w:val="0"/>
          <w:numId w:val="16"/>
        </w:numPr>
        <w:spacing w:line="276" w:lineRule="auto"/>
        <w:contextualSpacing/>
        <w:jc w:val="both"/>
        <w:rPr>
          <w:rFonts w:ascii="Palatino Linotype" w:hAnsi="Palatino Linotype"/>
          <w:bCs/>
          <w:color w:val="FF0000"/>
          <w:sz w:val="22"/>
          <w:szCs w:val="22"/>
          <w:lang w:val="en-US"/>
        </w:rPr>
      </w:pPr>
      <w:r w:rsidRPr="00272724">
        <w:rPr>
          <w:rFonts w:ascii="Palatino Linotype" w:eastAsia="Times New Roman" w:hAnsi="Palatino Linotype"/>
          <w:bCs/>
          <w:color w:val="000000"/>
          <w:sz w:val="22"/>
          <w:szCs w:val="22"/>
          <w:lang w:val="en-US" w:eastAsia="en-GB"/>
        </w:rPr>
        <w:t>Among the countries analysed</w:t>
      </w:r>
      <w:r w:rsidRPr="00272724">
        <w:rPr>
          <w:rFonts w:ascii="Palatino Linotype" w:eastAsia="Times New Roman" w:hAnsi="Palatino Linotype"/>
          <w:bCs/>
          <w:color w:val="000000"/>
          <w:sz w:val="22"/>
          <w:szCs w:val="22"/>
          <w:vertAlign w:val="superscript"/>
          <w:lang w:val="en-US" w:eastAsia="en-GB"/>
        </w:rPr>
        <w:footnoteReference w:id="5"/>
      </w:r>
      <w:r w:rsidRPr="00272724">
        <w:rPr>
          <w:rFonts w:ascii="Palatino Linotype" w:eastAsia="Times New Roman" w:hAnsi="Palatino Linotype"/>
          <w:bCs/>
          <w:color w:val="000000"/>
          <w:sz w:val="22"/>
          <w:szCs w:val="22"/>
          <w:lang w:val="en-US" w:eastAsia="en-GB"/>
        </w:rPr>
        <w:t xml:space="preserve">, for bond yield, 10-year bond yield showed a </w:t>
      </w:r>
      <w:r>
        <w:rPr>
          <w:rFonts w:ascii="Palatino Linotype" w:eastAsia="Times New Roman" w:hAnsi="Palatino Linotype"/>
          <w:bCs/>
          <w:color w:val="000000"/>
          <w:sz w:val="22"/>
          <w:szCs w:val="22"/>
          <w:lang w:val="en-US" w:eastAsia="en-GB"/>
        </w:rPr>
        <w:t>negative</w:t>
      </w:r>
      <w:r w:rsidRPr="00272724">
        <w:rPr>
          <w:rFonts w:ascii="Palatino Linotype" w:eastAsia="Times New Roman" w:hAnsi="Palatino Linotype"/>
          <w:bCs/>
          <w:color w:val="000000"/>
          <w:sz w:val="22"/>
          <w:szCs w:val="22"/>
          <w:lang w:val="en-US" w:eastAsia="en-GB"/>
        </w:rPr>
        <w:t xml:space="preserve"> change for most developed and developing economies (Chart 3 &amp; 4) except for </w:t>
      </w:r>
      <w:r>
        <w:rPr>
          <w:rFonts w:ascii="Palatino Linotype" w:eastAsia="Times New Roman" w:hAnsi="Palatino Linotype"/>
          <w:bCs/>
          <w:color w:val="000000"/>
          <w:sz w:val="22"/>
          <w:szCs w:val="22"/>
          <w:lang w:val="en-US" w:eastAsia="en-GB"/>
        </w:rPr>
        <w:t>UK</w:t>
      </w:r>
      <w:r w:rsidRPr="00272724">
        <w:rPr>
          <w:rFonts w:ascii="Palatino Linotype" w:eastAsia="Times New Roman" w:hAnsi="Palatino Linotype"/>
          <w:bCs/>
          <w:color w:val="000000"/>
          <w:sz w:val="22"/>
          <w:szCs w:val="22"/>
          <w:lang w:val="en-US" w:eastAsia="en-GB"/>
        </w:rPr>
        <w:t xml:space="preserve">, </w:t>
      </w:r>
      <w:r>
        <w:rPr>
          <w:rFonts w:ascii="Palatino Linotype" w:eastAsia="Times New Roman" w:hAnsi="Palatino Linotype"/>
          <w:bCs/>
          <w:color w:val="000000"/>
          <w:sz w:val="22"/>
          <w:szCs w:val="22"/>
          <w:lang w:val="en-US" w:eastAsia="en-GB"/>
        </w:rPr>
        <w:t>China</w:t>
      </w:r>
      <w:r w:rsidRPr="00272724">
        <w:rPr>
          <w:rFonts w:ascii="Palatino Linotype" w:eastAsia="Times New Roman" w:hAnsi="Palatino Linotype"/>
          <w:bCs/>
          <w:color w:val="000000"/>
          <w:sz w:val="22"/>
          <w:szCs w:val="22"/>
          <w:lang w:val="en-US" w:eastAsia="en-GB"/>
        </w:rPr>
        <w:t xml:space="preserve">, and </w:t>
      </w:r>
      <w:r>
        <w:rPr>
          <w:rFonts w:ascii="Palatino Linotype" w:eastAsia="Times New Roman" w:hAnsi="Palatino Linotype"/>
          <w:bCs/>
          <w:color w:val="000000"/>
          <w:sz w:val="22"/>
          <w:szCs w:val="22"/>
          <w:lang w:val="en-US" w:eastAsia="en-GB"/>
        </w:rPr>
        <w:t>Brazil</w:t>
      </w:r>
      <w:r w:rsidRPr="00272724">
        <w:rPr>
          <w:rFonts w:ascii="Palatino Linotype" w:eastAsia="Times New Roman" w:hAnsi="Palatino Linotype"/>
          <w:bCs/>
          <w:color w:val="000000"/>
          <w:sz w:val="22"/>
          <w:szCs w:val="22"/>
          <w:lang w:val="en-US" w:eastAsia="en-GB"/>
        </w:rPr>
        <w:t xml:space="preserve"> in </w:t>
      </w:r>
      <w:r>
        <w:rPr>
          <w:rFonts w:ascii="Palatino Linotype" w:eastAsia="Times New Roman" w:hAnsi="Palatino Linotype"/>
          <w:bCs/>
          <w:color w:val="000000"/>
          <w:sz w:val="22"/>
          <w:szCs w:val="22"/>
          <w:lang w:val="en-US" w:eastAsia="en-GB"/>
        </w:rPr>
        <w:t>November</w:t>
      </w:r>
      <w:r w:rsidRPr="00272724">
        <w:rPr>
          <w:rFonts w:ascii="Palatino Linotype" w:eastAsia="Times New Roman" w:hAnsi="Palatino Linotype"/>
          <w:bCs/>
          <w:color w:val="000000"/>
          <w:sz w:val="22"/>
          <w:szCs w:val="22"/>
          <w:lang w:val="en-US" w:eastAsia="en-GB"/>
        </w:rPr>
        <w:t xml:space="preserve"> 2020.</w:t>
      </w:r>
      <w:r>
        <w:rPr>
          <w:rFonts w:ascii="Palatino Linotype" w:eastAsia="Times New Roman" w:hAnsi="Palatino Linotype"/>
          <w:bCs/>
          <w:color w:val="000000"/>
          <w:sz w:val="22"/>
          <w:szCs w:val="22"/>
          <w:lang w:val="en-US" w:eastAsia="en-GB"/>
        </w:rPr>
        <w:t xml:space="preserve"> There was no change in the bond yield for India and Russia over the previous month.</w:t>
      </w:r>
    </w:p>
    <w:p w:rsidR="009C796D" w:rsidRPr="00272724" w:rsidRDefault="009C796D" w:rsidP="009C796D">
      <w:pPr>
        <w:spacing w:line="276" w:lineRule="auto"/>
        <w:ind w:left="360"/>
        <w:contextualSpacing/>
        <w:jc w:val="both"/>
        <w:rPr>
          <w:rFonts w:ascii="Palatino Linotype" w:hAnsi="Palatino Linotype"/>
          <w:bCs/>
          <w:color w:val="FF0000"/>
          <w:sz w:val="22"/>
          <w:szCs w:val="22"/>
          <w:lang w:val="en-US"/>
        </w:rPr>
      </w:pPr>
    </w:p>
    <w:p w:rsidR="009C796D" w:rsidRPr="00272724" w:rsidRDefault="009C796D" w:rsidP="009C796D">
      <w:pPr>
        <w:spacing w:line="23" w:lineRule="atLeast"/>
        <w:rPr>
          <w:rFonts w:ascii="Garamond" w:hAnsi="Garamond"/>
          <w:bCs/>
          <w:strike/>
          <w:sz w:val="22"/>
          <w:szCs w:val="22"/>
        </w:rPr>
      </w:pPr>
    </w:p>
    <w:p w:rsidR="009C796D" w:rsidRPr="00272724" w:rsidRDefault="009C796D" w:rsidP="009C796D">
      <w:pPr>
        <w:rPr>
          <w:rFonts w:ascii="Garamond" w:hAnsi="Garamond"/>
          <w:b/>
          <w:bCs/>
          <w:szCs w:val="22"/>
        </w:rPr>
      </w:pPr>
      <w:r w:rsidRPr="00272724">
        <w:rPr>
          <w:rFonts w:ascii="Garamond" w:hAnsi="Garamond"/>
          <w:b/>
          <w:bCs/>
          <w:szCs w:val="22"/>
        </w:rPr>
        <w:t>Figure 3: Movement of 10-year Government Bond Yields in Developed Nations</w:t>
      </w:r>
    </w:p>
    <w:p w:rsidR="009C796D" w:rsidRPr="00272724" w:rsidRDefault="009C796D" w:rsidP="009C796D">
      <w:pPr>
        <w:rPr>
          <w:rFonts w:ascii="Garamond" w:hAnsi="Garamond"/>
          <w:bCs/>
          <w:sz w:val="22"/>
          <w:szCs w:val="22"/>
        </w:rPr>
      </w:pPr>
    </w:p>
    <w:p w:rsidR="009C796D" w:rsidRPr="00272724" w:rsidRDefault="009C796D" w:rsidP="009C796D">
      <w:pPr>
        <w:spacing w:line="23" w:lineRule="atLeast"/>
        <w:jc w:val="both"/>
        <w:outlineLvl w:val="0"/>
        <w:rPr>
          <w:rFonts w:ascii="Garamond" w:hAnsi="Garamond"/>
          <w:bCs/>
          <w:sz w:val="22"/>
          <w:szCs w:val="22"/>
        </w:rPr>
      </w:pPr>
      <w:r w:rsidRPr="002518BB">
        <w:rPr>
          <w:rFonts w:ascii="Garamond" w:hAnsi="Garamond"/>
          <w:bCs/>
          <w:noProof/>
          <w:sz w:val="22"/>
          <w:szCs w:val="22"/>
          <w:lang w:val="en-IN" w:eastAsia="en-IN" w:bidi="hi-IN"/>
        </w:rPr>
        <w:drawing>
          <wp:inline distT="0" distB="0" distL="0" distR="0">
            <wp:extent cx="5848350" cy="2924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8350" cy="2924175"/>
                    </a:xfrm>
                    <a:prstGeom prst="rect">
                      <a:avLst/>
                    </a:prstGeom>
                    <a:noFill/>
                    <a:ln>
                      <a:noFill/>
                    </a:ln>
                  </pic:spPr>
                </pic:pic>
              </a:graphicData>
            </a:graphic>
          </wp:inline>
        </w:drawing>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9C796D" w:rsidRPr="00272724" w:rsidRDefault="009C796D" w:rsidP="009C796D">
      <w:pPr>
        <w:spacing w:line="23" w:lineRule="atLeast"/>
        <w:jc w:val="both"/>
        <w:outlineLvl w:val="0"/>
        <w:rPr>
          <w:rFonts w:ascii="Garamond" w:hAnsi="Garamond"/>
          <w:bCs/>
          <w:sz w:val="22"/>
          <w:szCs w:val="22"/>
        </w:rPr>
      </w:pPr>
    </w:p>
    <w:p w:rsidR="009C796D" w:rsidRPr="00272724" w:rsidRDefault="009C796D" w:rsidP="009C796D">
      <w:pPr>
        <w:rPr>
          <w:rFonts w:ascii="Garamond" w:hAnsi="Garamond"/>
          <w:bCs/>
          <w:strike/>
          <w:sz w:val="22"/>
          <w:szCs w:val="22"/>
        </w:rPr>
      </w:pPr>
    </w:p>
    <w:p w:rsidR="009C796D" w:rsidRPr="00272724" w:rsidRDefault="009C796D" w:rsidP="009C796D">
      <w:pPr>
        <w:spacing w:line="23" w:lineRule="atLeast"/>
        <w:jc w:val="both"/>
        <w:outlineLvl w:val="0"/>
        <w:rPr>
          <w:rFonts w:ascii="Garamond" w:hAnsi="Garamond"/>
          <w:b/>
          <w:bCs/>
          <w:szCs w:val="22"/>
        </w:rPr>
      </w:pPr>
      <w:r w:rsidRPr="00272724">
        <w:rPr>
          <w:rFonts w:ascii="Garamond" w:hAnsi="Garamond"/>
          <w:b/>
          <w:bCs/>
          <w:szCs w:val="22"/>
        </w:rPr>
        <w:t>Figure 4: Movement of 10-year Government Bond Yields in BRIC Nations</w:t>
      </w:r>
    </w:p>
    <w:p w:rsidR="009C796D" w:rsidRPr="00272724" w:rsidRDefault="009C796D" w:rsidP="009C796D">
      <w:pPr>
        <w:spacing w:line="23" w:lineRule="atLeast"/>
        <w:jc w:val="both"/>
        <w:outlineLvl w:val="0"/>
        <w:rPr>
          <w:rFonts w:ascii="Garamond" w:hAnsi="Garamond"/>
          <w:bCs/>
          <w:sz w:val="22"/>
          <w:szCs w:val="22"/>
        </w:rPr>
      </w:pPr>
      <w:r w:rsidRPr="002518BB">
        <w:rPr>
          <w:rFonts w:ascii="Garamond" w:hAnsi="Garamond"/>
          <w:bCs/>
          <w:noProof/>
          <w:sz w:val="22"/>
          <w:szCs w:val="22"/>
          <w:lang w:val="en-IN" w:eastAsia="en-IN" w:bidi="hi-IN"/>
        </w:rPr>
        <w:drawing>
          <wp:inline distT="0" distB="0" distL="0" distR="0">
            <wp:extent cx="5810250" cy="2914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0250" cy="2914650"/>
                    </a:xfrm>
                    <a:prstGeom prst="rect">
                      <a:avLst/>
                    </a:prstGeom>
                    <a:noFill/>
                    <a:ln>
                      <a:noFill/>
                    </a:ln>
                  </pic:spPr>
                </pic:pic>
              </a:graphicData>
            </a:graphic>
          </wp:inline>
        </w:drawing>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9C796D" w:rsidRPr="00272724" w:rsidRDefault="009C796D" w:rsidP="009C796D">
      <w:pPr>
        <w:spacing w:line="23" w:lineRule="atLeast"/>
        <w:jc w:val="both"/>
        <w:rPr>
          <w:rFonts w:ascii="Garamond" w:eastAsia="Times New Roman" w:hAnsi="Garamond"/>
          <w:bCs/>
          <w:sz w:val="22"/>
          <w:szCs w:val="22"/>
          <w:lang w:val="en-US"/>
        </w:rPr>
      </w:pPr>
    </w:p>
    <w:p w:rsidR="009C796D" w:rsidRPr="00272724" w:rsidRDefault="009C796D" w:rsidP="009C796D">
      <w:pPr>
        <w:rPr>
          <w:rFonts w:ascii="Garamond" w:eastAsia="Times New Roman" w:hAnsi="Garamond"/>
          <w:b/>
          <w:strike/>
          <w:szCs w:val="22"/>
          <w:u w:val="single"/>
          <w:lang w:val="en-US"/>
        </w:rPr>
      </w:pPr>
      <w:r w:rsidRPr="00272724">
        <w:rPr>
          <w:rFonts w:ascii="Garamond" w:eastAsia="Times New Roman" w:hAnsi="Garamond"/>
          <w:b/>
          <w:strike/>
          <w:szCs w:val="22"/>
          <w:u w:val="single"/>
          <w:lang w:val="en-US"/>
        </w:rPr>
        <w:br w:type="page"/>
      </w:r>
    </w:p>
    <w:p w:rsidR="009C796D" w:rsidRPr="00272724" w:rsidRDefault="009C796D" w:rsidP="009C796D">
      <w:pPr>
        <w:spacing w:line="360" w:lineRule="auto"/>
        <w:jc w:val="both"/>
        <w:rPr>
          <w:rFonts w:ascii="Palatino Linotype" w:eastAsia="Times New Roman" w:hAnsi="Palatino Linotype"/>
          <w:b/>
          <w:sz w:val="22"/>
          <w:szCs w:val="22"/>
          <w:lang w:val="en-US"/>
        </w:rPr>
      </w:pPr>
      <w:r w:rsidRPr="00272724">
        <w:rPr>
          <w:rFonts w:ascii="Palatino Linotype" w:eastAsia="Times New Roman" w:hAnsi="Palatino Linotype"/>
          <w:b/>
          <w:sz w:val="22"/>
          <w:szCs w:val="22"/>
          <w:u w:val="single"/>
          <w:lang w:val="en-US"/>
        </w:rPr>
        <w:t>Fund Mobilisation by Issuance of Equity and Bonds (Table A2)</w:t>
      </w:r>
      <w:r w:rsidRPr="00272724">
        <w:rPr>
          <w:rFonts w:ascii="Palatino Linotype" w:eastAsia="Times New Roman" w:hAnsi="Palatino Linotype"/>
          <w:b/>
          <w:sz w:val="22"/>
          <w:szCs w:val="22"/>
          <w:lang w:val="en-US"/>
        </w:rPr>
        <w:t xml:space="preserve"> – </w:t>
      </w: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There was a </w:t>
      </w:r>
      <w:r>
        <w:rPr>
          <w:rFonts w:ascii="Palatino Linotype" w:eastAsia="Times New Roman" w:hAnsi="Palatino Linotype"/>
          <w:bCs/>
          <w:sz w:val="22"/>
          <w:szCs w:val="22"/>
          <w:lang w:val="en-US" w:eastAsia="en-GB"/>
        </w:rPr>
        <w:t>16.2</w:t>
      </w:r>
      <w:r w:rsidRPr="00272724">
        <w:rPr>
          <w:rFonts w:ascii="Palatino Linotype" w:eastAsia="Times New Roman" w:hAnsi="Palatino Linotype"/>
          <w:bCs/>
          <w:sz w:val="22"/>
          <w:szCs w:val="22"/>
          <w:lang w:val="en-US" w:eastAsia="en-GB"/>
        </w:rPr>
        <w:t xml:space="preserve"> per cent </w:t>
      </w:r>
      <w:r>
        <w:rPr>
          <w:rFonts w:ascii="Palatino Linotype" w:eastAsia="Times New Roman" w:hAnsi="Palatino Linotype"/>
          <w:bCs/>
          <w:sz w:val="22"/>
          <w:szCs w:val="22"/>
          <w:lang w:val="en-US" w:eastAsia="en-GB"/>
        </w:rPr>
        <w:t>decrease</w:t>
      </w:r>
      <w:r w:rsidRPr="00272724">
        <w:rPr>
          <w:rFonts w:ascii="Palatino Linotype" w:eastAsia="Times New Roman" w:hAnsi="Palatino Linotype"/>
          <w:bCs/>
          <w:sz w:val="22"/>
          <w:szCs w:val="22"/>
          <w:lang w:val="en-US" w:eastAsia="en-GB"/>
        </w:rPr>
        <w:t xml:space="preserve"> in the fund mobilization at the selected analyzed exchanges world-wide during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 (at </w:t>
      </w:r>
      <w:r w:rsidRPr="000231F9">
        <w:rPr>
          <w:rFonts w:ascii="Palatino Linotype" w:eastAsia="Times New Roman" w:hAnsi="Palatino Linotype"/>
          <w:bCs/>
          <w:sz w:val="22"/>
          <w:szCs w:val="22"/>
          <w:lang w:val="en-US" w:eastAsia="en-GB"/>
        </w:rPr>
        <w:t xml:space="preserve">387,464 </w:t>
      </w:r>
      <w:r w:rsidRPr="00272724">
        <w:rPr>
          <w:rFonts w:ascii="Palatino Linotype" w:eastAsia="Times New Roman" w:hAnsi="Palatino Linotype"/>
          <w:bCs/>
          <w:sz w:val="22"/>
          <w:szCs w:val="22"/>
          <w:lang w:val="en-US" w:eastAsia="en-GB"/>
        </w:rPr>
        <w:t xml:space="preserve">million USD) against previous month (at </w:t>
      </w:r>
      <w:r w:rsidRPr="000231F9">
        <w:rPr>
          <w:rFonts w:ascii="Palatino Linotype" w:eastAsia="Times New Roman" w:hAnsi="Palatino Linotype"/>
          <w:bCs/>
          <w:sz w:val="22"/>
          <w:szCs w:val="22"/>
          <w:lang w:val="en-US" w:eastAsia="en-GB"/>
        </w:rPr>
        <w:t xml:space="preserve">462,473 </w:t>
      </w:r>
      <w:r w:rsidRPr="00272724">
        <w:rPr>
          <w:rFonts w:ascii="Palatino Linotype" w:eastAsia="Times New Roman" w:hAnsi="Palatino Linotype"/>
          <w:bCs/>
          <w:sz w:val="22"/>
          <w:szCs w:val="22"/>
          <w:lang w:val="en-US" w:eastAsia="en-GB"/>
        </w:rPr>
        <w:t xml:space="preserve">million USD). Only </w:t>
      </w:r>
      <w:r w:rsidRPr="000231F9">
        <w:rPr>
          <w:rFonts w:ascii="Palatino Linotype" w:eastAsia="Times New Roman" w:hAnsi="Palatino Linotype"/>
          <w:bCs/>
          <w:sz w:val="22"/>
          <w:szCs w:val="22"/>
          <w:lang w:val="en-US" w:eastAsia="en-GB"/>
        </w:rPr>
        <w:t xml:space="preserve">14.5 </w:t>
      </w:r>
      <w:r w:rsidRPr="00272724">
        <w:rPr>
          <w:rFonts w:ascii="Palatino Linotype" w:eastAsia="Times New Roman" w:hAnsi="Palatino Linotype"/>
          <w:bCs/>
          <w:sz w:val="22"/>
          <w:szCs w:val="22"/>
          <w:lang w:val="en-US" w:eastAsia="en-GB"/>
        </w:rPr>
        <w:t xml:space="preserve">per cent of the total fund mobilization in </w:t>
      </w:r>
      <w:r>
        <w:rPr>
          <w:rFonts w:ascii="Palatino Linotype" w:eastAsia="Times New Roman" w:hAnsi="Palatino Linotype"/>
          <w:bCs/>
          <w:color w:val="000000"/>
          <w:sz w:val="22"/>
          <w:szCs w:val="22"/>
          <w:lang w:val="en-US" w:eastAsia="en-GB"/>
        </w:rPr>
        <w:t>October</w:t>
      </w:r>
      <w:r w:rsidRPr="00272724">
        <w:rPr>
          <w:rFonts w:ascii="Palatino Linotype" w:eastAsia="Times New Roman" w:hAnsi="Palatino Linotype"/>
          <w:bCs/>
          <w:color w:val="000000"/>
          <w:sz w:val="22"/>
          <w:szCs w:val="22"/>
          <w:lang w:val="en-US" w:eastAsia="en-GB"/>
        </w:rPr>
        <w:t xml:space="preserve"> 2020 </w:t>
      </w:r>
      <w:r w:rsidRPr="00272724">
        <w:rPr>
          <w:rFonts w:ascii="Palatino Linotype" w:eastAsia="Times New Roman" w:hAnsi="Palatino Linotype"/>
          <w:bCs/>
          <w:sz w:val="22"/>
          <w:szCs w:val="22"/>
          <w:lang w:val="en-US" w:eastAsia="en-GB"/>
        </w:rPr>
        <w:t>was in equity and remaining was in debt.</w:t>
      </w: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As per the data available on World Federation of Exchanges (WFE)</w:t>
      </w:r>
      <w:r w:rsidRPr="00272724">
        <w:rPr>
          <w:rFonts w:ascii="Palatino Linotype" w:eastAsia="Times New Roman" w:hAnsi="Palatino Linotype"/>
          <w:bCs/>
          <w:sz w:val="22"/>
          <w:szCs w:val="22"/>
          <w:vertAlign w:val="superscript"/>
          <w:lang w:val="en-US" w:eastAsia="en-GB"/>
        </w:rPr>
        <w:footnoteReference w:id="6"/>
      </w:r>
      <w:r w:rsidRPr="00272724">
        <w:rPr>
          <w:rFonts w:ascii="Palatino Linotype" w:eastAsia="Times New Roman" w:hAnsi="Palatino Linotype"/>
          <w:bCs/>
          <w:sz w:val="22"/>
          <w:szCs w:val="22"/>
          <w:lang w:val="en-US" w:eastAsia="en-GB"/>
        </w:rPr>
        <w:t xml:space="preserve">, highest amount mobilized through equities and bonds in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 was at LSE Group (</w:t>
      </w:r>
      <w:r w:rsidRPr="000052B8">
        <w:rPr>
          <w:rFonts w:ascii="Palatino Linotype" w:eastAsia="Times New Roman" w:hAnsi="Palatino Linotype"/>
          <w:bCs/>
          <w:sz w:val="22"/>
          <w:szCs w:val="22"/>
          <w:lang w:val="en-US" w:eastAsia="en-GB"/>
        </w:rPr>
        <w:t xml:space="preserve">98,044 </w:t>
      </w:r>
      <w:r w:rsidRPr="00272724">
        <w:rPr>
          <w:rFonts w:ascii="Palatino Linotype" w:eastAsia="Times New Roman" w:hAnsi="Palatino Linotype"/>
          <w:bCs/>
          <w:sz w:val="22"/>
          <w:szCs w:val="22"/>
          <w:lang w:val="en-US" w:eastAsia="en-GB"/>
        </w:rPr>
        <w:t>million USD) followed by</w:t>
      </w:r>
      <w:r w:rsidRPr="00272724">
        <w:rPr>
          <w:rFonts w:ascii="Palatino Linotype" w:hAnsi="Palatino Linotype"/>
          <w:sz w:val="22"/>
          <w:szCs w:val="22"/>
        </w:rPr>
        <w:t xml:space="preserve"> </w:t>
      </w:r>
      <w:r w:rsidRPr="000052B8">
        <w:rPr>
          <w:rFonts w:ascii="Palatino Linotype" w:hAnsi="Palatino Linotype"/>
          <w:sz w:val="22"/>
          <w:szCs w:val="22"/>
        </w:rPr>
        <w:t>Korea Exchange</w:t>
      </w:r>
      <w:r w:rsidRPr="00272724">
        <w:rPr>
          <w:rFonts w:ascii="Palatino Linotype" w:hAnsi="Palatino Linotype"/>
          <w:sz w:val="22"/>
          <w:szCs w:val="22"/>
        </w:rPr>
        <w:t xml:space="preserve"> </w:t>
      </w:r>
      <w:r w:rsidRPr="00272724">
        <w:rPr>
          <w:rFonts w:ascii="Palatino Linotype" w:eastAsia="Times New Roman" w:hAnsi="Palatino Linotype"/>
          <w:bCs/>
          <w:sz w:val="22"/>
          <w:szCs w:val="22"/>
          <w:lang w:val="en-US" w:eastAsia="en-GB"/>
        </w:rPr>
        <w:t>(</w:t>
      </w:r>
      <w:r w:rsidRPr="000052B8">
        <w:rPr>
          <w:rFonts w:ascii="Palatino Linotype" w:eastAsia="Times New Roman" w:hAnsi="Palatino Linotype"/>
          <w:bCs/>
          <w:sz w:val="22"/>
          <w:szCs w:val="22"/>
          <w:lang w:val="en-US" w:eastAsia="en-GB"/>
        </w:rPr>
        <w:t xml:space="preserve">54,723 </w:t>
      </w:r>
      <w:r w:rsidRPr="00272724">
        <w:rPr>
          <w:rFonts w:ascii="Palatino Linotype" w:eastAsia="Times New Roman" w:hAnsi="Palatino Linotype"/>
          <w:bCs/>
          <w:sz w:val="22"/>
          <w:szCs w:val="22"/>
          <w:lang w:val="en-US" w:eastAsia="en-GB"/>
        </w:rPr>
        <w:t>million USD) and NSE (</w:t>
      </w:r>
      <w:r w:rsidRPr="000052B8">
        <w:rPr>
          <w:rFonts w:ascii="Palatino Linotype" w:eastAsia="Times New Roman" w:hAnsi="Palatino Linotype"/>
          <w:bCs/>
          <w:sz w:val="22"/>
          <w:szCs w:val="22"/>
          <w:lang w:val="en-US" w:eastAsia="en-GB"/>
        </w:rPr>
        <w:t xml:space="preserve">41,257 </w:t>
      </w:r>
      <w:r w:rsidRPr="00272724">
        <w:rPr>
          <w:rFonts w:ascii="Palatino Linotype" w:eastAsia="Times New Roman" w:hAnsi="Palatino Linotype"/>
          <w:bCs/>
          <w:sz w:val="22"/>
          <w:szCs w:val="22"/>
          <w:lang w:val="en-US" w:eastAsia="en-GB"/>
        </w:rPr>
        <w:t xml:space="preserve">million USD). </w:t>
      </w: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 fund mobilization at LSE Group in equity was, </w:t>
      </w:r>
      <w:r w:rsidRPr="00621464">
        <w:rPr>
          <w:rFonts w:ascii="Palatino Linotype" w:eastAsia="Times New Roman" w:hAnsi="Palatino Linotype"/>
          <w:bCs/>
          <w:sz w:val="22"/>
          <w:szCs w:val="22"/>
          <w:lang w:val="en-US" w:eastAsia="en-GB"/>
        </w:rPr>
        <w:t xml:space="preserve">5,587 </w:t>
      </w:r>
      <w:r w:rsidRPr="00272724">
        <w:rPr>
          <w:rFonts w:ascii="Palatino Linotype" w:eastAsia="Times New Roman" w:hAnsi="Palatino Linotype"/>
          <w:bCs/>
          <w:sz w:val="22"/>
          <w:szCs w:val="22"/>
          <w:lang w:val="en-US" w:eastAsia="en-GB"/>
        </w:rPr>
        <w:t xml:space="preserve">million USD and the remaining amount was raised through bonds whereas at </w:t>
      </w:r>
      <w:r w:rsidRPr="006E0C1F">
        <w:rPr>
          <w:rFonts w:ascii="Palatino Linotype" w:hAnsi="Palatino Linotype"/>
          <w:sz w:val="22"/>
          <w:szCs w:val="22"/>
        </w:rPr>
        <w:t>Korea Exchange</w:t>
      </w:r>
      <w:r w:rsidRPr="00272724">
        <w:rPr>
          <w:rFonts w:ascii="Palatino Linotype" w:hAnsi="Palatino Linotype"/>
          <w:sz w:val="22"/>
          <w:szCs w:val="22"/>
        </w:rPr>
        <w:t xml:space="preserve"> </w:t>
      </w:r>
      <w:r>
        <w:rPr>
          <w:rFonts w:ascii="Palatino Linotype" w:eastAsia="Times New Roman" w:hAnsi="Palatino Linotype"/>
          <w:bCs/>
          <w:sz w:val="22"/>
          <w:szCs w:val="22"/>
          <w:lang w:val="en-US" w:eastAsia="en-GB"/>
        </w:rPr>
        <w:t>entire</w:t>
      </w:r>
      <w:r w:rsidRPr="00272724">
        <w:rPr>
          <w:rFonts w:ascii="Palatino Linotype" w:eastAsia="Times New Roman" w:hAnsi="Palatino Linotype"/>
          <w:bCs/>
          <w:sz w:val="22"/>
          <w:szCs w:val="22"/>
          <w:lang w:val="en-US" w:eastAsia="en-GB"/>
        </w:rPr>
        <w:t xml:space="preserve"> amount was raised through bonds</w:t>
      </w:r>
      <w:r>
        <w:rPr>
          <w:rFonts w:ascii="Palatino Linotype" w:eastAsia="Times New Roman" w:hAnsi="Palatino Linotype"/>
          <w:bCs/>
          <w:sz w:val="22"/>
          <w:szCs w:val="22"/>
          <w:lang w:val="en-US" w:eastAsia="en-GB"/>
        </w:rPr>
        <w:t xml:space="preserve"> only</w:t>
      </w:r>
      <w:r w:rsidRPr="00272724">
        <w:rPr>
          <w:rFonts w:ascii="Palatino Linotype" w:eastAsia="Times New Roman" w:hAnsi="Palatino Linotype"/>
          <w:bCs/>
          <w:sz w:val="22"/>
          <w:szCs w:val="22"/>
          <w:lang w:val="en-US" w:eastAsia="en-GB"/>
        </w:rPr>
        <w:t>. At NSE</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w:t>
      </w:r>
      <w:r w:rsidRPr="00E83D23">
        <w:rPr>
          <w:rFonts w:ascii="Palatino Linotype" w:eastAsia="Times New Roman" w:hAnsi="Palatino Linotype"/>
          <w:bCs/>
          <w:sz w:val="22"/>
          <w:szCs w:val="22"/>
          <w:lang w:val="en-US" w:eastAsia="en-GB"/>
        </w:rPr>
        <w:t xml:space="preserve">668 </w:t>
      </w:r>
      <w:r w:rsidRPr="00272724">
        <w:rPr>
          <w:rFonts w:ascii="Palatino Linotype" w:eastAsia="Times New Roman" w:hAnsi="Palatino Linotype"/>
          <w:bCs/>
          <w:sz w:val="22"/>
          <w:szCs w:val="22"/>
          <w:lang w:val="en-US" w:eastAsia="en-GB"/>
        </w:rPr>
        <w:t>million USD were raised through equity and the remaining amount was raised through bonds.</w:t>
      </w: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Maximum fund mobilization through equities in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 was at </w:t>
      </w:r>
      <w:r w:rsidRPr="000A64EA">
        <w:rPr>
          <w:rFonts w:ascii="Palatino Linotype" w:eastAsia="Times New Roman" w:hAnsi="Palatino Linotype"/>
          <w:bCs/>
          <w:sz w:val="22"/>
          <w:szCs w:val="22"/>
          <w:lang w:val="en-US" w:eastAsia="en-GB"/>
        </w:rPr>
        <w:t>Shenzhen Stock Exchange</w:t>
      </w:r>
      <w:r w:rsidRPr="00272724">
        <w:rPr>
          <w:rFonts w:ascii="Palatino Linotype" w:eastAsia="Times New Roman" w:hAnsi="Palatino Linotype"/>
          <w:bCs/>
          <w:sz w:val="22"/>
          <w:szCs w:val="22"/>
          <w:lang w:val="en-US" w:eastAsia="en-GB"/>
        </w:rPr>
        <w:t xml:space="preserve"> (</w:t>
      </w:r>
      <w:r w:rsidRPr="00704520">
        <w:rPr>
          <w:rFonts w:ascii="Palatino Linotype" w:eastAsia="Times New Roman" w:hAnsi="Palatino Linotype"/>
          <w:bCs/>
          <w:sz w:val="22"/>
          <w:szCs w:val="22"/>
          <w:lang w:val="en-US" w:eastAsia="en-GB"/>
        </w:rPr>
        <w:t xml:space="preserve">10,848 </w:t>
      </w:r>
      <w:r w:rsidRPr="00272724">
        <w:rPr>
          <w:rFonts w:ascii="Palatino Linotype" w:eastAsia="Times New Roman" w:hAnsi="Palatino Linotype"/>
          <w:bCs/>
          <w:sz w:val="22"/>
          <w:szCs w:val="22"/>
          <w:lang w:val="en-US" w:eastAsia="en-GB"/>
        </w:rPr>
        <w:t>million USD) followed by</w:t>
      </w:r>
      <w:r w:rsidRPr="00272724">
        <w:t xml:space="preserve"> </w:t>
      </w:r>
      <w:r w:rsidRPr="00704520">
        <w:rPr>
          <w:rFonts w:ascii="Palatino Linotype" w:eastAsia="Times New Roman" w:hAnsi="Palatino Linotype"/>
          <w:bCs/>
          <w:sz w:val="22"/>
          <w:szCs w:val="22"/>
          <w:lang w:val="en-US" w:eastAsia="en-GB"/>
        </w:rPr>
        <w:t>Euronext</w:t>
      </w:r>
      <w:r w:rsidRPr="00272724">
        <w:rPr>
          <w:rFonts w:ascii="Palatino Linotype" w:eastAsia="Times New Roman" w:hAnsi="Palatino Linotype"/>
          <w:bCs/>
          <w:sz w:val="22"/>
          <w:szCs w:val="22"/>
          <w:lang w:val="en-US" w:eastAsia="en-GB"/>
        </w:rPr>
        <w:t xml:space="preserve"> (</w:t>
      </w:r>
      <w:r w:rsidRPr="00704520">
        <w:rPr>
          <w:rFonts w:ascii="Palatino Linotype" w:eastAsia="Times New Roman" w:hAnsi="Palatino Linotype"/>
          <w:bCs/>
          <w:sz w:val="22"/>
          <w:szCs w:val="22"/>
          <w:lang w:val="en-US" w:eastAsia="en-GB"/>
        </w:rPr>
        <w:t xml:space="preserve">10,350 </w:t>
      </w:r>
      <w:r w:rsidRPr="00272724">
        <w:rPr>
          <w:rFonts w:ascii="Palatino Linotype" w:eastAsia="Times New Roman" w:hAnsi="Palatino Linotype"/>
          <w:bCs/>
          <w:sz w:val="22"/>
          <w:szCs w:val="22"/>
          <w:lang w:val="en-US" w:eastAsia="en-GB"/>
        </w:rPr>
        <w:t xml:space="preserve">million USD).   </w:t>
      </w:r>
    </w:p>
    <w:p w:rsidR="009C796D" w:rsidRPr="00272724" w:rsidRDefault="009C796D" w:rsidP="009C796D">
      <w:pPr>
        <w:spacing w:line="276" w:lineRule="auto"/>
        <w:jc w:val="both"/>
        <w:rPr>
          <w:rFonts w:ascii="Palatino Linotype" w:eastAsia="Times New Roman" w:hAnsi="Palatino Linotype"/>
          <w:bCs/>
          <w:strike/>
          <w:sz w:val="22"/>
          <w:szCs w:val="22"/>
          <w:lang w:val="en-US"/>
        </w:rPr>
      </w:pPr>
    </w:p>
    <w:p w:rsidR="009C796D" w:rsidRPr="00272724" w:rsidRDefault="009C796D" w:rsidP="009C796D">
      <w:pPr>
        <w:spacing w:line="276" w:lineRule="auto"/>
        <w:ind w:left="284"/>
        <w:jc w:val="both"/>
        <w:rPr>
          <w:rFonts w:ascii="Palatino Linotype" w:eastAsia="Times New Roman" w:hAnsi="Palatino Linotype"/>
          <w:b/>
          <w:sz w:val="22"/>
          <w:szCs w:val="22"/>
          <w:lang w:val="en-US"/>
        </w:rPr>
      </w:pPr>
      <w:r w:rsidRPr="00272724">
        <w:rPr>
          <w:rFonts w:ascii="Palatino Linotype" w:eastAsia="Times New Roman" w:hAnsi="Palatino Linotype"/>
          <w:b/>
          <w:sz w:val="22"/>
          <w:szCs w:val="22"/>
          <w:u w:val="single"/>
          <w:lang w:val="en-US"/>
        </w:rPr>
        <w:t>Market Capitalisation of Major</w:t>
      </w:r>
      <w:r w:rsidRPr="00272724">
        <w:rPr>
          <w:rFonts w:ascii="Palatino Linotype" w:eastAsia="Times New Roman" w:hAnsi="Palatino Linotype"/>
          <w:b/>
          <w:sz w:val="22"/>
          <w:szCs w:val="22"/>
          <w:lang w:val="en-US"/>
        </w:rPr>
        <w:t xml:space="preserve"> Exchanges (Table A3) –</w:t>
      </w:r>
    </w:p>
    <w:p w:rsidR="009C796D" w:rsidRPr="00272724" w:rsidRDefault="009C796D" w:rsidP="009C796D">
      <w:pPr>
        <w:spacing w:line="276" w:lineRule="auto"/>
        <w:ind w:left="360"/>
        <w:contextualSpacing/>
        <w:jc w:val="both"/>
        <w:rPr>
          <w:rFonts w:ascii="Palatino Linotype" w:eastAsia="Times New Roman" w:hAnsi="Palatino Linotype"/>
          <w:b/>
          <w:sz w:val="22"/>
          <w:szCs w:val="22"/>
          <w:lang w:val="en-US" w:eastAsia="en-GB"/>
        </w:rPr>
      </w:pPr>
    </w:p>
    <w:p w:rsidR="009C796D" w:rsidRPr="00272724" w:rsidRDefault="009C796D" w:rsidP="009C796D">
      <w:pPr>
        <w:numPr>
          <w:ilvl w:val="0"/>
          <w:numId w:val="16"/>
        </w:numPr>
        <w:spacing w:line="276" w:lineRule="auto"/>
        <w:ind w:left="357" w:hanging="357"/>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Most of the analysed exchanges of selected markets</w:t>
      </w:r>
      <w:r w:rsidRPr="00272724">
        <w:rPr>
          <w:rFonts w:ascii="Palatino Linotype" w:eastAsia="Times New Roman" w:hAnsi="Palatino Linotype"/>
          <w:bCs/>
          <w:sz w:val="22"/>
          <w:szCs w:val="22"/>
          <w:vertAlign w:val="superscript"/>
          <w:lang w:val="en-US" w:eastAsia="en-GB"/>
        </w:rPr>
        <w:footnoteReference w:id="7"/>
      </w:r>
      <w:r w:rsidRPr="00272724">
        <w:rPr>
          <w:rFonts w:ascii="Palatino Linotype" w:eastAsia="Times New Roman" w:hAnsi="Palatino Linotype"/>
          <w:bCs/>
          <w:sz w:val="22"/>
          <w:szCs w:val="22"/>
          <w:lang w:val="en-US" w:eastAsia="en-GB"/>
        </w:rPr>
        <w:t xml:space="preserve">, reflected a decrease in market capitalization in the month of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 as compared to previous month.</w:t>
      </w: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Among the exchanges which registered </w:t>
      </w:r>
      <w:r>
        <w:rPr>
          <w:rFonts w:ascii="Palatino Linotype" w:eastAsia="Times New Roman" w:hAnsi="Palatino Linotype"/>
          <w:bCs/>
          <w:sz w:val="22"/>
          <w:szCs w:val="22"/>
          <w:lang w:val="en-US" w:eastAsia="en-GB"/>
        </w:rPr>
        <w:t xml:space="preserve">highest </w:t>
      </w:r>
      <w:r w:rsidRPr="00272724">
        <w:rPr>
          <w:rFonts w:ascii="Palatino Linotype" w:eastAsia="Times New Roman" w:hAnsi="Palatino Linotype"/>
          <w:bCs/>
          <w:sz w:val="22"/>
          <w:szCs w:val="22"/>
          <w:lang w:val="en-US" w:eastAsia="en-GB"/>
        </w:rPr>
        <w:t xml:space="preserve">increase in market capitalization were </w:t>
      </w:r>
      <w:r w:rsidRPr="002809B5">
        <w:rPr>
          <w:rFonts w:ascii="Palatino Linotype" w:eastAsia="Times New Roman" w:hAnsi="Palatino Linotype"/>
          <w:bCs/>
          <w:sz w:val="22"/>
          <w:szCs w:val="22"/>
          <w:lang w:val="en-US" w:eastAsia="en-GB"/>
        </w:rPr>
        <w:t>Shenzhen Stock Exchange</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w:t>
      </w:r>
      <w:r w:rsidRPr="002809B5">
        <w:rPr>
          <w:rFonts w:ascii="Palatino Linotype" w:eastAsia="Times New Roman" w:hAnsi="Palatino Linotype"/>
          <w:bCs/>
          <w:sz w:val="22"/>
          <w:szCs w:val="22"/>
          <w:lang w:val="en-US" w:eastAsia="en-GB"/>
        </w:rPr>
        <w:t>Hong Kong Exchanges and Clearing</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 xml:space="preserve">and </w:t>
      </w:r>
      <w:r w:rsidRPr="008600D4">
        <w:rPr>
          <w:rFonts w:ascii="Palatino Linotype" w:eastAsia="Times New Roman" w:hAnsi="Palatino Linotype"/>
          <w:bCs/>
          <w:sz w:val="22"/>
          <w:szCs w:val="22"/>
          <w:lang w:val="en-US" w:eastAsia="en-GB"/>
        </w:rPr>
        <w:t>Shanghai Stock Exchange</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5.1, 4.0</w:t>
      </w:r>
      <w:r w:rsidRPr="00905D76">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 xml:space="preserve">and </w:t>
      </w:r>
      <w:r w:rsidRPr="00905D76">
        <w:rPr>
          <w:rFonts w:ascii="Palatino Linotype" w:eastAsia="Times New Roman" w:hAnsi="Palatino Linotype"/>
          <w:bCs/>
          <w:sz w:val="22"/>
          <w:szCs w:val="22"/>
          <w:lang w:val="en-US" w:eastAsia="en-GB"/>
        </w:rPr>
        <w:t>2.2</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per cent respectively)</w:t>
      </w:r>
      <w:r>
        <w:rPr>
          <w:rFonts w:ascii="Palatino Linotype" w:eastAsia="Times New Roman" w:hAnsi="Palatino Linotype"/>
          <w:bCs/>
          <w:sz w:val="22"/>
          <w:szCs w:val="22"/>
          <w:lang w:val="en-US" w:eastAsia="en-GB"/>
        </w:rPr>
        <w:t>.</w:t>
      </w: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Among the exchanges which lost most of the market capitalization among the analysed ones were </w:t>
      </w:r>
      <w:r w:rsidRPr="008600D4">
        <w:rPr>
          <w:rFonts w:ascii="Palatino Linotype" w:eastAsia="Times New Roman" w:hAnsi="Palatino Linotype"/>
          <w:bCs/>
          <w:sz w:val="22"/>
          <w:szCs w:val="22"/>
          <w:lang w:val="en-US" w:eastAsia="en-GB"/>
        </w:rPr>
        <w:t>Deutsche Boerse AG</w:t>
      </w:r>
      <w:r w:rsidRPr="00272724">
        <w:rPr>
          <w:rFonts w:ascii="Palatino Linotype" w:eastAsia="Times New Roman" w:hAnsi="Palatino Linotype"/>
          <w:bCs/>
          <w:sz w:val="22"/>
          <w:szCs w:val="22"/>
          <w:lang w:val="en-US" w:eastAsia="en-GB"/>
        </w:rPr>
        <w:t xml:space="preserve"> (</w:t>
      </w:r>
      <w:r w:rsidRPr="008600D4">
        <w:rPr>
          <w:rFonts w:ascii="Palatino Linotype" w:eastAsia="Times New Roman" w:hAnsi="Palatino Linotype"/>
          <w:bCs/>
          <w:sz w:val="22"/>
          <w:szCs w:val="22"/>
          <w:lang w:val="en-US" w:eastAsia="en-GB"/>
        </w:rPr>
        <w:t>-8.6</w:t>
      </w:r>
      <w:r w:rsidRPr="00272724">
        <w:rPr>
          <w:rFonts w:ascii="Palatino Linotype" w:eastAsia="Times New Roman" w:hAnsi="Palatino Linotype"/>
          <w:bCs/>
          <w:sz w:val="22"/>
          <w:szCs w:val="22"/>
          <w:lang w:val="en-US" w:eastAsia="en-GB"/>
        </w:rPr>
        <w:t xml:space="preserve"> per cent), </w:t>
      </w:r>
      <w:r w:rsidRPr="008600D4">
        <w:rPr>
          <w:rFonts w:ascii="Palatino Linotype" w:eastAsia="Times New Roman" w:hAnsi="Palatino Linotype"/>
          <w:bCs/>
          <w:sz w:val="22"/>
          <w:szCs w:val="22"/>
          <w:lang w:val="en-US" w:eastAsia="en-GB"/>
        </w:rPr>
        <w:t>Moscow Exchange</w:t>
      </w:r>
      <w:r w:rsidRPr="00272724">
        <w:rPr>
          <w:rFonts w:ascii="Palatino Linotype" w:eastAsia="Times New Roman" w:hAnsi="Palatino Linotype"/>
          <w:bCs/>
          <w:sz w:val="22"/>
          <w:szCs w:val="22"/>
          <w:lang w:val="en-US" w:eastAsia="en-GB"/>
        </w:rPr>
        <w:t xml:space="preserve"> (</w:t>
      </w:r>
      <w:r w:rsidRPr="008600D4">
        <w:rPr>
          <w:rFonts w:ascii="Palatino Linotype" w:eastAsia="Times New Roman" w:hAnsi="Palatino Linotype"/>
          <w:bCs/>
          <w:sz w:val="22"/>
          <w:szCs w:val="22"/>
          <w:lang w:val="en-US" w:eastAsia="en-GB"/>
        </w:rPr>
        <w:t>-8.0</w:t>
      </w:r>
      <w:r w:rsidRPr="00272724">
        <w:rPr>
          <w:rFonts w:ascii="Palatino Linotype" w:eastAsia="Times New Roman" w:hAnsi="Palatino Linotype"/>
          <w:bCs/>
          <w:sz w:val="22"/>
          <w:szCs w:val="22"/>
          <w:lang w:val="en-US" w:eastAsia="en-GB"/>
        </w:rPr>
        <w:t xml:space="preserve"> per cent) and </w:t>
      </w:r>
      <w:r w:rsidRPr="008600D4">
        <w:rPr>
          <w:rFonts w:ascii="Palatino Linotype" w:eastAsia="Times New Roman" w:hAnsi="Palatino Linotype"/>
          <w:bCs/>
          <w:sz w:val="22"/>
          <w:szCs w:val="22"/>
          <w:lang w:val="en-US" w:eastAsia="en-GB"/>
        </w:rPr>
        <w:t>LSE Group</w:t>
      </w:r>
      <w:r w:rsidRPr="00272724">
        <w:rPr>
          <w:rFonts w:ascii="Palatino Linotype" w:eastAsia="Times New Roman" w:hAnsi="Palatino Linotype"/>
          <w:bCs/>
          <w:sz w:val="22"/>
          <w:szCs w:val="22"/>
          <w:lang w:val="en-US" w:eastAsia="en-GB"/>
        </w:rPr>
        <w:t xml:space="preserve"> (</w:t>
      </w:r>
      <w:r w:rsidRPr="008600D4">
        <w:rPr>
          <w:rFonts w:ascii="Palatino Linotype" w:eastAsia="Times New Roman" w:hAnsi="Palatino Linotype"/>
          <w:bCs/>
          <w:sz w:val="22"/>
          <w:szCs w:val="22"/>
          <w:lang w:val="en-US" w:eastAsia="en-GB"/>
        </w:rPr>
        <w:t>-4.1</w:t>
      </w:r>
      <w:r w:rsidRPr="00272724">
        <w:rPr>
          <w:rFonts w:ascii="Palatino Linotype" w:eastAsia="Times New Roman" w:hAnsi="Palatino Linotype"/>
          <w:bCs/>
          <w:sz w:val="22"/>
          <w:szCs w:val="22"/>
          <w:lang w:val="en-US" w:eastAsia="en-GB"/>
        </w:rPr>
        <w:t xml:space="preserve"> per cent).</w:t>
      </w:r>
    </w:p>
    <w:p w:rsidR="009C796D" w:rsidRPr="00272724" w:rsidRDefault="009C796D" w:rsidP="009C796D">
      <w:pPr>
        <w:spacing w:line="276" w:lineRule="auto"/>
        <w:ind w:left="360"/>
        <w:contextualSpacing/>
        <w:jc w:val="both"/>
        <w:rPr>
          <w:rFonts w:ascii="Palatino Linotype" w:eastAsia="Times New Roman" w:hAnsi="Palatino Linotype"/>
          <w:b/>
          <w:sz w:val="22"/>
          <w:szCs w:val="22"/>
          <w:u w:val="single"/>
          <w:lang w:val="en-US"/>
        </w:rPr>
      </w:pPr>
    </w:p>
    <w:p w:rsidR="009C796D" w:rsidRPr="00272724" w:rsidRDefault="009C796D" w:rsidP="009C796D">
      <w:pPr>
        <w:spacing w:line="276" w:lineRule="auto"/>
        <w:ind w:left="360"/>
        <w:contextualSpacing/>
        <w:jc w:val="both"/>
        <w:rPr>
          <w:rFonts w:ascii="Palatino Linotype" w:eastAsia="Times New Roman" w:hAnsi="Palatino Linotype"/>
          <w:b/>
          <w:sz w:val="22"/>
          <w:szCs w:val="22"/>
          <w:lang w:val="en-US" w:eastAsia="en-GB"/>
        </w:rPr>
      </w:pPr>
      <w:r w:rsidRPr="00272724">
        <w:rPr>
          <w:rFonts w:ascii="Palatino Linotype" w:eastAsia="Times New Roman" w:hAnsi="Palatino Linotype"/>
          <w:b/>
          <w:sz w:val="22"/>
          <w:szCs w:val="22"/>
          <w:u w:val="single"/>
          <w:lang w:val="en-US"/>
        </w:rPr>
        <w:t xml:space="preserve">Derivatives </w:t>
      </w:r>
      <w:r w:rsidRPr="00272724">
        <w:rPr>
          <w:rFonts w:ascii="Palatino Linotype" w:eastAsia="Times New Roman" w:hAnsi="Palatino Linotype"/>
          <w:b/>
          <w:sz w:val="22"/>
          <w:szCs w:val="22"/>
          <w:lang w:val="en-US" w:eastAsia="en-GB"/>
        </w:rPr>
        <w:t xml:space="preserve">(Figures 5-6, Table A4–A8) – </w:t>
      </w:r>
    </w:p>
    <w:p w:rsidR="009C796D" w:rsidRPr="00272724" w:rsidRDefault="009C796D" w:rsidP="009C796D">
      <w:pPr>
        <w:spacing w:line="276" w:lineRule="auto"/>
        <w:ind w:left="360"/>
        <w:contextualSpacing/>
        <w:jc w:val="both"/>
        <w:rPr>
          <w:rFonts w:ascii="Palatino Linotype" w:eastAsia="Times New Roman" w:hAnsi="Palatino Linotype"/>
          <w:b/>
          <w:sz w:val="22"/>
          <w:szCs w:val="22"/>
          <w:lang w:val="en-US" w:eastAsia="en-GB"/>
        </w:rPr>
      </w:pP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During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the highest number of single stock futures contracts traded was at </w:t>
      </w:r>
      <w:r w:rsidRPr="007156EB">
        <w:rPr>
          <w:rFonts w:ascii="Palatino Linotype" w:eastAsia="Times New Roman" w:hAnsi="Palatino Linotype"/>
          <w:bCs/>
          <w:sz w:val="22"/>
          <w:szCs w:val="22"/>
          <w:lang w:val="en-US" w:eastAsia="en-GB"/>
        </w:rPr>
        <w:t>Borsa Istanbul</w:t>
      </w:r>
      <w:r w:rsidRPr="00272724">
        <w:rPr>
          <w:rFonts w:ascii="Palatino Linotype" w:eastAsia="Times New Roman" w:hAnsi="Palatino Linotype"/>
          <w:bCs/>
          <w:sz w:val="22"/>
          <w:szCs w:val="22"/>
          <w:lang w:val="en-US" w:eastAsia="en-GB"/>
        </w:rPr>
        <w:t xml:space="preserve"> (</w:t>
      </w:r>
      <w:r w:rsidRPr="007156EB">
        <w:rPr>
          <w:rFonts w:ascii="Palatino Linotype" w:eastAsia="Times New Roman" w:hAnsi="Palatino Linotype"/>
          <w:bCs/>
          <w:sz w:val="22"/>
          <w:szCs w:val="22"/>
          <w:lang w:val="en-US" w:eastAsia="en-GB"/>
        </w:rPr>
        <w:t>128,572,007)</w:t>
      </w:r>
      <w:r w:rsidRPr="00272724">
        <w:rPr>
          <w:rFonts w:ascii="Palatino Linotype" w:eastAsia="Times New Roman" w:hAnsi="Palatino Linotype"/>
          <w:bCs/>
          <w:sz w:val="22"/>
          <w:szCs w:val="22"/>
          <w:lang w:val="en-US" w:eastAsia="en-GB"/>
        </w:rPr>
        <w:t xml:space="preserve"> followed by </w:t>
      </w:r>
      <w:r w:rsidRPr="007156EB">
        <w:rPr>
          <w:rFonts w:ascii="Palatino Linotype" w:eastAsia="Times New Roman" w:hAnsi="Palatino Linotype"/>
          <w:bCs/>
          <w:sz w:val="22"/>
          <w:szCs w:val="22"/>
          <w:lang w:val="en-US" w:eastAsia="en-GB"/>
        </w:rPr>
        <w:t>Korea Exchange</w:t>
      </w:r>
      <w:r w:rsidRPr="00272724">
        <w:rPr>
          <w:rFonts w:ascii="Palatino Linotype" w:eastAsia="Times New Roman" w:hAnsi="Palatino Linotype"/>
          <w:bCs/>
          <w:sz w:val="22"/>
          <w:szCs w:val="22"/>
          <w:lang w:val="en-US" w:eastAsia="en-GB"/>
        </w:rPr>
        <w:t xml:space="preserve"> (</w:t>
      </w:r>
      <w:r w:rsidRPr="007156EB">
        <w:rPr>
          <w:rFonts w:ascii="Palatino Linotype" w:eastAsia="Times New Roman" w:hAnsi="Palatino Linotype"/>
          <w:bCs/>
          <w:sz w:val="22"/>
          <w:szCs w:val="22"/>
          <w:lang w:val="en-US" w:eastAsia="en-GB"/>
        </w:rPr>
        <w:t>87,957,604)</w:t>
      </w:r>
      <w:r w:rsidRPr="00272724">
        <w:rPr>
          <w:rFonts w:ascii="Palatino Linotype" w:eastAsia="Times New Roman" w:hAnsi="Palatino Linotype"/>
          <w:bCs/>
          <w:sz w:val="22"/>
          <w:szCs w:val="22"/>
          <w:lang w:val="en-US" w:eastAsia="en-GB"/>
        </w:rPr>
        <w:t xml:space="preserve">. The highest number of single stock options were traded at </w:t>
      </w:r>
      <w:r w:rsidRPr="007156EB">
        <w:rPr>
          <w:rFonts w:ascii="Palatino Linotype" w:eastAsia="Times New Roman" w:hAnsi="Palatino Linotype"/>
          <w:bCs/>
          <w:sz w:val="22"/>
          <w:szCs w:val="22"/>
          <w:lang w:val="en-US" w:eastAsia="en-GB"/>
        </w:rPr>
        <w:t>Nasdaq - US</w:t>
      </w:r>
      <w:r w:rsidRPr="00272724">
        <w:rPr>
          <w:rFonts w:ascii="Palatino Linotype" w:eastAsia="Times New Roman" w:hAnsi="Palatino Linotype"/>
          <w:bCs/>
          <w:sz w:val="22"/>
          <w:szCs w:val="22"/>
          <w:lang w:val="en-US" w:eastAsia="en-GB"/>
        </w:rPr>
        <w:t xml:space="preserve"> (</w:t>
      </w:r>
      <w:r w:rsidRPr="007156EB">
        <w:rPr>
          <w:rFonts w:ascii="Palatino Linotype" w:eastAsia="Times New Roman" w:hAnsi="Palatino Linotype"/>
          <w:bCs/>
          <w:sz w:val="22"/>
          <w:szCs w:val="22"/>
          <w:lang w:val="en-US" w:eastAsia="en-GB"/>
        </w:rPr>
        <w:t>158,202,478)</w:t>
      </w:r>
      <w:r w:rsidRPr="00272724">
        <w:rPr>
          <w:rFonts w:ascii="Palatino Linotype" w:eastAsia="Times New Roman" w:hAnsi="Palatino Linotype"/>
          <w:bCs/>
          <w:sz w:val="22"/>
          <w:szCs w:val="22"/>
          <w:lang w:val="en-US" w:eastAsia="en-GB"/>
        </w:rPr>
        <w:t xml:space="preserve"> followed by </w:t>
      </w:r>
      <w:r w:rsidRPr="007156EB">
        <w:rPr>
          <w:rFonts w:ascii="Palatino Linotype" w:eastAsia="Times New Roman" w:hAnsi="Palatino Linotype"/>
          <w:bCs/>
          <w:sz w:val="22"/>
          <w:szCs w:val="22"/>
          <w:lang w:val="en-US" w:eastAsia="en-GB"/>
        </w:rPr>
        <w:t>B3 - Brasil Bolsa Balcão</w:t>
      </w:r>
      <w:r w:rsidRPr="00272724">
        <w:rPr>
          <w:rFonts w:ascii="Palatino Linotype" w:eastAsia="Times New Roman" w:hAnsi="Palatino Linotype"/>
          <w:bCs/>
          <w:sz w:val="22"/>
          <w:szCs w:val="22"/>
          <w:lang w:val="en-US" w:eastAsia="en-GB"/>
        </w:rPr>
        <w:t xml:space="preserve"> (</w:t>
      </w:r>
      <w:r w:rsidRPr="007156EB">
        <w:rPr>
          <w:rFonts w:ascii="Palatino Linotype" w:eastAsia="Times New Roman" w:hAnsi="Palatino Linotype"/>
          <w:bCs/>
          <w:sz w:val="22"/>
          <w:szCs w:val="22"/>
          <w:lang w:val="en-US" w:eastAsia="en-GB"/>
        </w:rPr>
        <w:t>147,404,629)</w:t>
      </w:r>
      <w:r w:rsidRPr="00272724">
        <w:rPr>
          <w:rFonts w:ascii="Palatino Linotype" w:eastAsia="Times New Roman" w:hAnsi="Palatino Linotype"/>
          <w:bCs/>
          <w:sz w:val="22"/>
          <w:szCs w:val="22"/>
          <w:lang w:val="en-US" w:eastAsia="en-GB"/>
        </w:rPr>
        <w:t>.</w:t>
      </w: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In the same period, highest number of contracts of index futures were traded at </w:t>
      </w:r>
      <w:r w:rsidRPr="007156EB">
        <w:rPr>
          <w:rFonts w:ascii="Palatino Linotype" w:eastAsia="Times New Roman" w:hAnsi="Palatino Linotype"/>
          <w:bCs/>
          <w:sz w:val="22"/>
          <w:szCs w:val="22"/>
          <w:lang w:val="en-US" w:eastAsia="en-GB"/>
        </w:rPr>
        <w:t>B3 - Brasil Bolsa Balcão</w:t>
      </w:r>
      <w:r w:rsidRPr="00272724">
        <w:rPr>
          <w:rFonts w:ascii="Palatino Linotype" w:eastAsia="Times New Roman" w:hAnsi="Palatino Linotype"/>
          <w:bCs/>
          <w:sz w:val="22"/>
          <w:szCs w:val="22"/>
          <w:lang w:val="en-US" w:eastAsia="en-GB"/>
        </w:rPr>
        <w:t xml:space="preserve"> (</w:t>
      </w:r>
      <w:r w:rsidRPr="007156EB">
        <w:rPr>
          <w:rFonts w:ascii="Palatino Linotype" w:eastAsia="Times New Roman" w:hAnsi="Palatino Linotype"/>
          <w:bCs/>
          <w:sz w:val="22"/>
          <w:szCs w:val="22"/>
          <w:lang w:val="en-US" w:eastAsia="en-GB"/>
        </w:rPr>
        <w:t>269,334,327)</w:t>
      </w:r>
      <w:r w:rsidRPr="00272724">
        <w:rPr>
          <w:rFonts w:ascii="Palatino Linotype" w:eastAsia="Times New Roman" w:hAnsi="Palatino Linotype"/>
          <w:bCs/>
          <w:sz w:val="22"/>
          <w:szCs w:val="22"/>
          <w:lang w:val="en-US" w:eastAsia="en-GB"/>
        </w:rPr>
        <w:t xml:space="preserve"> followed by </w:t>
      </w:r>
      <w:r w:rsidRPr="007156EB">
        <w:rPr>
          <w:rFonts w:ascii="Palatino Linotype" w:eastAsia="Times New Roman" w:hAnsi="Palatino Linotype"/>
          <w:bCs/>
          <w:sz w:val="22"/>
          <w:szCs w:val="22"/>
          <w:lang w:val="en-US" w:eastAsia="en-GB"/>
        </w:rPr>
        <w:t>CME Group</w:t>
      </w:r>
      <w:r w:rsidRPr="00272724">
        <w:rPr>
          <w:rFonts w:ascii="Palatino Linotype" w:eastAsia="Times New Roman" w:hAnsi="Palatino Linotype"/>
          <w:bCs/>
          <w:sz w:val="22"/>
          <w:szCs w:val="22"/>
          <w:lang w:val="en-US" w:eastAsia="en-GB"/>
        </w:rPr>
        <w:t xml:space="preserve"> (</w:t>
      </w:r>
      <w:r w:rsidRPr="007156EB">
        <w:rPr>
          <w:rFonts w:ascii="Palatino Linotype" w:eastAsia="Times New Roman" w:hAnsi="Palatino Linotype"/>
          <w:bCs/>
          <w:sz w:val="22"/>
          <w:szCs w:val="22"/>
          <w:lang w:val="en-US" w:eastAsia="en-GB"/>
        </w:rPr>
        <w:t>104,481,945)</w:t>
      </w:r>
      <w:r w:rsidRPr="00272724">
        <w:rPr>
          <w:rFonts w:ascii="Palatino Linotype" w:eastAsia="Times New Roman" w:hAnsi="Palatino Linotype"/>
          <w:bCs/>
          <w:sz w:val="22"/>
          <w:szCs w:val="22"/>
          <w:lang w:val="en-US" w:eastAsia="en-GB"/>
        </w:rPr>
        <w:t>. Among the stock index options, the highest number of contacts were traded at NSE (</w:t>
      </w:r>
      <w:r w:rsidRPr="007156EB">
        <w:rPr>
          <w:rFonts w:ascii="Palatino Linotype" w:eastAsia="Times New Roman" w:hAnsi="Palatino Linotype"/>
          <w:bCs/>
          <w:sz w:val="22"/>
          <w:szCs w:val="22"/>
          <w:lang w:val="en-US" w:eastAsia="en-GB"/>
        </w:rPr>
        <w:t>729,238,811)</w:t>
      </w:r>
      <w:r w:rsidRPr="00272724">
        <w:rPr>
          <w:rFonts w:ascii="Palatino Linotype" w:eastAsia="Times New Roman" w:hAnsi="Palatino Linotype"/>
          <w:bCs/>
          <w:sz w:val="22"/>
          <w:szCs w:val="22"/>
          <w:lang w:val="en-US" w:eastAsia="en-GB"/>
        </w:rPr>
        <w:t xml:space="preserve"> followed by </w:t>
      </w:r>
      <w:r w:rsidRPr="007156EB">
        <w:rPr>
          <w:rFonts w:ascii="Palatino Linotype" w:eastAsia="Times New Roman" w:hAnsi="Palatino Linotype"/>
          <w:bCs/>
          <w:sz w:val="22"/>
          <w:szCs w:val="22"/>
          <w:lang w:val="en-US" w:eastAsia="en-GB"/>
        </w:rPr>
        <w:t>Korea Exchange</w:t>
      </w:r>
      <w:r w:rsidRPr="00272724">
        <w:rPr>
          <w:rFonts w:ascii="Palatino Linotype" w:eastAsia="Times New Roman" w:hAnsi="Palatino Linotype"/>
          <w:bCs/>
          <w:sz w:val="22"/>
          <w:szCs w:val="22"/>
          <w:lang w:val="en-US" w:eastAsia="en-GB"/>
        </w:rPr>
        <w:t xml:space="preserve"> (</w:t>
      </w:r>
      <w:r w:rsidRPr="007156EB">
        <w:rPr>
          <w:rFonts w:ascii="Palatino Linotype" w:eastAsia="Times New Roman" w:hAnsi="Palatino Linotype"/>
          <w:bCs/>
          <w:sz w:val="22"/>
          <w:szCs w:val="22"/>
          <w:lang w:val="en-US" w:eastAsia="en-GB"/>
        </w:rPr>
        <w:t>45,003,759)</w:t>
      </w:r>
      <w:r w:rsidRPr="00272724">
        <w:rPr>
          <w:rFonts w:ascii="Palatino Linotype" w:eastAsia="Times New Roman" w:hAnsi="Palatino Linotype"/>
          <w:bCs/>
          <w:sz w:val="22"/>
          <w:szCs w:val="22"/>
          <w:lang w:val="en-US" w:eastAsia="en-GB"/>
        </w:rPr>
        <w:t>.</w:t>
      </w: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Highest number of currency futures contracts were traded at Moscow Exchange (</w:t>
      </w:r>
      <w:r w:rsidRPr="00CA737F">
        <w:rPr>
          <w:rFonts w:ascii="Palatino Linotype" w:eastAsia="Times New Roman" w:hAnsi="Palatino Linotype"/>
          <w:bCs/>
          <w:sz w:val="22"/>
          <w:szCs w:val="22"/>
          <w:lang w:val="en-US" w:eastAsia="en-GB"/>
        </w:rPr>
        <w:t>90,315,445)</w:t>
      </w:r>
      <w:r w:rsidRPr="00272724">
        <w:rPr>
          <w:rFonts w:ascii="Palatino Linotype" w:eastAsia="Times New Roman" w:hAnsi="Palatino Linotype"/>
          <w:bCs/>
          <w:sz w:val="22"/>
          <w:szCs w:val="22"/>
          <w:lang w:val="en-US" w:eastAsia="en-GB"/>
        </w:rPr>
        <w:t xml:space="preserve"> followed by B3 - Brasil Bolsa Balcão (</w:t>
      </w:r>
      <w:r w:rsidRPr="00CA737F">
        <w:rPr>
          <w:rFonts w:ascii="Palatino Linotype" w:eastAsia="Times New Roman" w:hAnsi="Palatino Linotype"/>
          <w:bCs/>
          <w:sz w:val="22"/>
          <w:szCs w:val="22"/>
          <w:lang w:val="en-US" w:eastAsia="en-GB"/>
        </w:rPr>
        <w:t>71,727,997)</w:t>
      </w:r>
      <w:r w:rsidRPr="00272724">
        <w:rPr>
          <w:rFonts w:ascii="Palatino Linotype" w:eastAsia="Times New Roman" w:hAnsi="Palatino Linotype"/>
          <w:bCs/>
          <w:sz w:val="22"/>
          <w:szCs w:val="22"/>
          <w:lang w:val="en-US" w:eastAsia="en-GB"/>
        </w:rPr>
        <w:t>. The highest number of currency options were traded at NSE (</w:t>
      </w:r>
      <w:r w:rsidRPr="00CA737F">
        <w:rPr>
          <w:rFonts w:ascii="Palatino Linotype" w:eastAsia="Times New Roman" w:hAnsi="Palatino Linotype"/>
          <w:bCs/>
          <w:sz w:val="22"/>
          <w:szCs w:val="22"/>
          <w:lang w:val="en-US" w:eastAsia="en-GB"/>
        </w:rPr>
        <w:t>69,635,339)</w:t>
      </w:r>
      <w:r w:rsidRPr="00272724">
        <w:rPr>
          <w:rFonts w:ascii="Palatino Linotype" w:eastAsia="Times New Roman" w:hAnsi="Palatino Linotype"/>
          <w:bCs/>
          <w:sz w:val="22"/>
          <w:szCs w:val="22"/>
          <w:lang w:val="en-US" w:eastAsia="en-GB"/>
        </w:rPr>
        <w:t xml:space="preserve"> followed by Moscow Exchange (</w:t>
      </w:r>
      <w:r w:rsidRPr="00CA737F">
        <w:rPr>
          <w:rFonts w:ascii="Palatino Linotype" w:eastAsia="Times New Roman" w:hAnsi="Palatino Linotype"/>
          <w:bCs/>
          <w:sz w:val="22"/>
          <w:szCs w:val="22"/>
          <w:lang w:val="en-US" w:eastAsia="en-GB"/>
        </w:rPr>
        <w:t>2,313,288)</w:t>
      </w:r>
      <w:r w:rsidRPr="00272724">
        <w:rPr>
          <w:rFonts w:ascii="Palatino Linotype" w:eastAsia="Times New Roman" w:hAnsi="Palatino Linotype"/>
          <w:bCs/>
          <w:sz w:val="22"/>
          <w:szCs w:val="22"/>
          <w:lang w:val="en-US" w:eastAsia="en-GB"/>
        </w:rPr>
        <w:t>.</w:t>
      </w: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 the highest number of interest rate futures and interest rate options contracts were traded at CME Group (</w:t>
      </w:r>
      <w:r w:rsidRPr="00CA737F">
        <w:rPr>
          <w:rFonts w:ascii="Palatino Linotype" w:eastAsia="Times New Roman" w:hAnsi="Palatino Linotype"/>
          <w:bCs/>
          <w:sz w:val="22"/>
          <w:szCs w:val="22"/>
          <w:lang w:val="en-US" w:eastAsia="en-GB"/>
        </w:rPr>
        <w:t xml:space="preserve">90,906,763 </w:t>
      </w:r>
      <w:r>
        <w:rPr>
          <w:rFonts w:ascii="Palatino Linotype" w:eastAsia="Times New Roman" w:hAnsi="Palatino Linotype"/>
          <w:bCs/>
          <w:sz w:val="22"/>
          <w:szCs w:val="22"/>
          <w:lang w:val="en-US" w:eastAsia="en-GB"/>
        </w:rPr>
        <w:t>and</w:t>
      </w:r>
      <w:r w:rsidRPr="00776F1A">
        <w:rPr>
          <w:rFonts w:ascii="Palatino Linotype" w:eastAsia="Times New Roman" w:hAnsi="Palatino Linotype"/>
          <w:bCs/>
          <w:sz w:val="22"/>
          <w:szCs w:val="22"/>
          <w:lang w:val="en-US" w:eastAsia="en-GB"/>
        </w:rPr>
        <w:t xml:space="preserve"> </w:t>
      </w:r>
      <w:r w:rsidRPr="004B1AB4">
        <w:rPr>
          <w:rFonts w:ascii="Palatino Linotype" w:eastAsia="Times New Roman" w:hAnsi="Palatino Linotype"/>
          <w:bCs/>
          <w:sz w:val="22"/>
          <w:szCs w:val="22"/>
          <w:lang w:val="en-US" w:eastAsia="en-GB"/>
        </w:rPr>
        <w:t xml:space="preserve">24,544,592 </w:t>
      </w:r>
      <w:r w:rsidRPr="00272724">
        <w:rPr>
          <w:rFonts w:ascii="Palatino Linotype" w:eastAsia="Times New Roman" w:hAnsi="Palatino Linotype"/>
          <w:bCs/>
          <w:sz w:val="22"/>
          <w:szCs w:val="22"/>
          <w:lang w:val="en-US" w:eastAsia="en-GB"/>
        </w:rPr>
        <w:t>respectively) followed by B3 - Brasil Bolsa Balcão (</w:t>
      </w:r>
      <w:r w:rsidRPr="004B1AB4">
        <w:rPr>
          <w:rFonts w:ascii="Palatino Linotype" w:eastAsia="Times New Roman" w:hAnsi="Palatino Linotype"/>
          <w:bCs/>
          <w:sz w:val="22"/>
          <w:szCs w:val="22"/>
          <w:lang w:val="en-US" w:eastAsia="en-GB"/>
        </w:rPr>
        <w:t xml:space="preserve">46,529,476 </w:t>
      </w:r>
      <w:r w:rsidRPr="00272724">
        <w:rPr>
          <w:rFonts w:ascii="Palatino Linotype" w:eastAsia="Times New Roman" w:hAnsi="Palatino Linotype"/>
          <w:bCs/>
          <w:sz w:val="22"/>
          <w:szCs w:val="22"/>
          <w:lang w:val="en-US" w:eastAsia="en-GB"/>
        </w:rPr>
        <w:t xml:space="preserve">and </w:t>
      </w:r>
      <w:r w:rsidRPr="004B1AB4">
        <w:rPr>
          <w:rFonts w:ascii="Palatino Linotype" w:eastAsia="Times New Roman" w:hAnsi="Palatino Linotype"/>
          <w:bCs/>
          <w:sz w:val="22"/>
          <w:szCs w:val="22"/>
          <w:lang w:val="en-US" w:eastAsia="en-GB"/>
        </w:rPr>
        <w:t xml:space="preserve">12,181,486 </w:t>
      </w:r>
      <w:r w:rsidRPr="00272724">
        <w:rPr>
          <w:rFonts w:ascii="Palatino Linotype" w:eastAsia="Times New Roman" w:hAnsi="Palatino Linotype"/>
          <w:bCs/>
          <w:sz w:val="22"/>
          <w:szCs w:val="22"/>
          <w:lang w:val="en-US" w:eastAsia="en-GB"/>
        </w:rPr>
        <w:t xml:space="preserve">respectively). </w:t>
      </w:r>
    </w:p>
    <w:p w:rsidR="009C796D" w:rsidRPr="00272724" w:rsidRDefault="009C796D" w:rsidP="009C796D">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The highest number of commodity futures contracts were traded at Dalian Commodity Exchange (</w:t>
      </w:r>
      <w:r w:rsidRPr="00C27A07">
        <w:rPr>
          <w:rFonts w:ascii="Palatino Linotype" w:eastAsia="Times New Roman" w:hAnsi="Palatino Linotype"/>
          <w:bCs/>
          <w:sz w:val="22"/>
          <w:szCs w:val="22"/>
          <w:lang w:val="en-US" w:eastAsia="en-GB"/>
        </w:rPr>
        <w:t>168,337,676)</w:t>
      </w:r>
      <w:r w:rsidRPr="00272724">
        <w:rPr>
          <w:rFonts w:ascii="Palatino Linotype" w:eastAsia="Times New Roman" w:hAnsi="Palatino Linotype"/>
          <w:bCs/>
          <w:sz w:val="22"/>
          <w:szCs w:val="22"/>
          <w:lang w:val="en-US" w:eastAsia="en-GB"/>
        </w:rPr>
        <w:t xml:space="preserve"> followed by </w:t>
      </w:r>
      <w:r w:rsidRPr="00C27A07">
        <w:rPr>
          <w:rFonts w:ascii="Palatino Linotype" w:eastAsia="Times New Roman" w:hAnsi="Palatino Linotype"/>
          <w:bCs/>
          <w:sz w:val="22"/>
          <w:szCs w:val="22"/>
          <w:lang w:val="en-US" w:eastAsia="en-GB"/>
        </w:rPr>
        <w:t>Zhengzhou Commodity Exchange</w:t>
      </w:r>
      <w:r w:rsidRPr="00272724">
        <w:rPr>
          <w:rFonts w:ascii="Palatino Linotype" w:eastAsia="Times New Roman" w:hAnsi="Palatino Linotype"/>
          <w:bCs/>
          <w:sz w:val="22"/>
          <w:szCs w:val="22"/>
          <w:lang w:val="en-US" w:eastAsia="en-GB"/>
        </w:rPr>
        <w:t xml:space="preserve"> (</w:t>
      </w:r>
      <w:r w:rsidRPr="00C27A07">
        <w:rPr>
          <w:rFonts w:ascii="Palatino Linotype" w:eastAsia="Times New Roman" w:hAnsi="Palatino Linotype"/>
          <w:bCs/>
          <w:sz w:val="22"/>
          <w:szCs w:val="22"/>
          <w:lang w:val="en-US" w:eastAsia="en-GB"/>
        </w:rPr>
        <w:t>148,470,232)</w:t>
      </w:r>
      <w:r w:rsidRPr="00272724">
        <w:rPr>
          <w:rFonts w:ascii="Palatino Linotype" w:eastAsia="Times New Roman" w:hAnsi="Palatino Linotype"/>
          <w:bCs/>
          <w:sz w:val="22"/>
          <w:szCs w:val="22"/>
          <w:lang w:val="en-US" w:eastAsia="en-GB"/>
        </w:rPr>
        <w:t xml:space="preserve"> in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 Among the commodity options the highest number of contracts were traded at CME Group (</w:t>
      </w:r>
      <w:r w:rsidRPr="00C27A07">
        <w:rPr>
          <w:rFonts w:ascii="Palatino Linotype" w:eastAsia="Times New Roman" w:hAnsi="Palatino Linotype"/>
          <w:bCs/>
          <w:sz w:val="22"/>
          <w:szCs w:val="22"/>
          <w:lang w:val="en-US" w:eastAsia="en-GB"/>
        </w:rPr>
        <w:t>14,232,453)</w:t>
      </w:r>
      <w:r w:rsidRPr="00272724">
        <w:rPr>
          <w:rFonts w:ascii="Palatino Linotype" w:eastAsia="Times New Roman" w:hAnsi="Palatino Linotype"/>
          <w:bCs/>
          <w:sz w:val="22"/>
          <w:szCs w:val="22"/>
          <w:lang w:val="en-US" w:eastAsia="en-GB"/>
        </w:rPr>
        <w:t xml:space="preserve"> followed by Dalian Commodity Exchange (</w:t>
      </w:r>
      <w:r w:rsidRPr="00C27A07">
        <w:rPr>
          <w:rFonts w:ascii="Palatino Linotype" w:eastAsia="Times New Roman" w:hAnsi="Palatino Linotype"/>
          <w:bCs/>
          <w:sz w:val="22"/>
          <w:szCs w:val="22"/>
          <w:lang w:val="en-US" w:eastAsia="en-GB"/>
        </w:rPr>
        <w:t>5,073,702)</w:t>
      </w:r>
      <w:r w:rsidRPr="00272724">
        <w:rPr>
          <w:rFonts w:ascii="Palatino Linotype" w:eastAsia="Times New Roman" w:hAnsi="Palatino Linotype"/>
          <w:bCs/>
          <w:sz w:val="22"/>
          <w:szCs w:val="22"/>
          <w:lang w:val="en-US" w:eastAsia="en-GB"/>
        </w:rPr>
        <w:t xml:space="preserve"> during the same period.</w:t>
      </w:r>
    </w:p>
    <w:p w:rsidR="009C796D" w:rsidRPr="00B17E08" w:rsidRDefault="009C796D" w:rsidP="009C796D">
      <w:pPr>
        <w:numPr>
          <w:ilvl w:val="0"/>
          <w:numId w:val="16"/>
        </w:numPr>
        <w:spacing w:line="276" w:lineRule="auto"/>
        <w:ind w:hanging="357"/>
        <w:contextualSpacing/>
        <w:jc w:val="both"/>
        <w:rPr>
          <w:rFonts w:ascii="Palatino Linotype" w:hAnsi="Palatino Linotype"/>
          <w:bCs/>
          <w:strike/>
          <w:sz w:val="22"/>
          <w:szCs w:val="22"/>
          <w:lang w:val="en-US"/>
        </w:rPr>
      </w:pPr>
      <w:r w:rsidRPr="00B17E08">
        <w:rPr>
          <w:rFonts w:ascii="Palatino Linotype" w:eastAsia="Times New Roman" w:hAnsi="Palatino Linotype"/>
          <w:bCs/>
          <w:sz w:val="22"/>
          <w:szCs w:val="22"/>
          <w:lang w:val="en-US" w:eastAsia="en-GB"/>
        </w:rPr>
        <w:t>In November 2020, all analysed</w:t>
      </w:r>
      <w:r w:rsidRPr="00272724">
        <w:rPr>
          <w:rFonts w:ascii="Palatino Linotype" w:eastAsia="Times New Roman" w:hAnsi="Palatino Linotype"/>
          <w:bCs/>
          <w:sz w:val="22"/>
          <w:szCs w:val="22"/>
          <w:vertAlign w:val="superscript"/>
          <w:lang w:val="en-US" w:eastAsia="en-GB"/>
        </w:rPr>
        <w:footnoteReference w:id="8"/>
      </w:r>
      <w:r w:rsidRPr="00B17E08">
        <w:rPr>
          <w:rFonts w:ascii="Palatino Linotype" w:eastAsia="Times New Roman" w:hAnsi="Palatino Linotype"/>
          <w:bCs/>
          <w:sz w:val="22"/>
          <w:szCs w:val="22"/>
          <w:lang w:val="en-US" w:eastAsia="en-GB"/>
        </w:rPr>
        <w:t xml:space="preserve"> currencies appreciated against dollar. Real and Rand were most appreciating currencies against dollar among the analysed </w:t>
      </w:r>
      <w:r>
        <w:rPr>
          <w:rFonts w:ascii="Palatino Linotype" w:eastAsia="Times New Roman" w:hAnsi="Palatino Linotype"/>
          <w:bCs/>
          <w:sz w:val="22"/>
          <w:szCs w:val="22"/>
          <w:lang w:val="en-US" w:eastAsia="en-GB"/>
        </w:rPr>
        <w:t>currencies.</w:t>
      </w:r>
    </w:p>
    <w:p w:rsidR="009C796D" w:rsidRPr="00272724" w:rsidRDefault="009C796D" w:rsidP="009C796D">
      <w:pPr>
        <w:spacing w:line="276" w:lineRule="auto"/>
        <w:outlineLvl w:val="0"/>
        <w:rPr>
          <w:rFonts w:ascii="Palatino Linotype" w:eastAsia="Times New Roman" w:hAnsi="Palatino Linotype"/>
          <w:b/>
          <w:strike/>
          <w:sz w:val="22"/>
          <w:szCs w:val="22"/>
          <w:u w:val="single"/>
        </w:rPr>
      </w:pPr>
    </w:p>
    <w:p w:rsidR="009C796D" w:rsidRPr="00272724" w:rsidRDefault="009C796D" w:rsidP="009C796D">
      <w:pPr>
        <w:spacing w:line="276" w:lineRule="auto"/>
        <w:outlineLvl w:val="0"/>
        <w:rPr>
          <w:rFonts w:ascii="Palatino Linotype" w:eastAsia="Times New Roman" w:hAnsi="Palatino Linotype"/>
          <w:b/>
          <w:sz w:val="22"/>
          <w:szCs w:val="22"/>
          <w:lang w:eastAsia="en-GB"/>
        </w:rPr>
      </w:pPr>
      <w:r w:rsidRPr="00272724">
        <w:rPr>
          <w:rFonts w:ascii="Palatino Linotype" w:eastAsia="Times New Roman" w:hAnsi="Palatino Linotype"/>
          <w:b/>
          <w:sz w:val="22"/>
          <w:szCs w:val="22"/>
          <w:u w:val="single"/>
        </w:rPr>
        <w:t xml:space="preserve">US Treasury Securities </w:t>
      </w:r>
      <w:r w:rsidRPr="00272724">
        <w:rPr>
          <w:rFonts w:ascii="Palatino Linotype" w:eastAsia="Times New Roman" w:hAnsi="Palatino Linotype"/>
          <w:b/>
          <w:sz w:val="22"/>
          <w:szCs w:val="22"/>
          <w:lang w:eastAsia="en-GB"/>
        </w:rPr>
        <w:t>(Table A9)</w:t>
      </w:r>
    </w:p>
    <w:p w:rsidR="009C796D" w:rsidRPr="00272724" w:rsidRDefault="009C796D" w:rsidP="009C796D">
      <w:pPr>
        <w:spacing w:line="276" w:lineRule="auto"/>
        <w:outlineLvl w:val="0"/>
        <w:rPr>
          <w:rFonts w:ascii="Palatino Linotype" w:hAnsi="Palatino Linotype"/>
          <w:bCs/>
          <w:sz w:val="22"/>
          <w:szCs w:val="22"/>
        </w:rPr>
      </w:pPr>
    </w:p>
    <w:p w:rsidR="009C796D" w:rsidRPr="00272724" w:rsidRDefault="009C796D" w:rsidP="009C796D">
      <w:pPr>
        <w:numPr>
          <w:ilvl w:val="0"/>
          <w:numId w:val="16"/>
        </w:numPr>
        <w:spacing w:line="276" w:lineRule="auto"/>
        <w:contextualSpacing/>
        <w:jc w:val="both"/>
        <w:rPr>
          <w:rFonts w:ascii="Palatino Linotype" w:hAnsi="Palatino Linotype"/>
          <w:bCs/>
          <w:strike/>
          <w:sz w:val="22"/>
          <w:szCs w:val="22"/>
          <w:lang w:val="en-US"/>
        </w:rPr>
      </w:pPr>
      <w:r w:rsidRPr="00272724">
        <w:rPr>
          <w:rFonts w:ascii="Palatino Linotype" w:eastAsia="Times New Roman" w:hAnsi="Palatino Linotype"/>
          <w:bCs/>
          <w:sz w:val="22"/>
          <w:szCs w:val="22"/>
          <w:lang w:val="en-US" w:eastAsia="en-GB"/>
        </w:rPr>
        <w:t xml:space="preserve">At the end of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 Japan was the biggest foreign holder of US Treasury Securities with 18.0 per cent followed by China with </w:t>
      </w:r>
      <w:r>
        <w:rPr>
          <w:rFonts w:ascii="Palatino Linotype" w:eastAsia="Times New Roman" w:hAnsi="Palatino Linotype"/>
          <w:bCs/>
          <w:sz w:val="22"/>
          <w:szCs w:val="22"/>
          <w:lang w:val="en-US" w:eastAsia="en-GB"/>
        </w:rPr>
        <w:t>14.9</w:t>
      </w:r>
      <w:r w:rsidRPr="00272724">
        <w:rPr>
          <w:rFonts w:ascii="Palatino Linotype" w:eastAsia="Times New Roman" w:hAnsi="Palatino Linotype"/>
          <w:bCs/>
          <w:sz w:val="22"/>
          <w:szCs w:val="22"/>
          <w:lang w:val="en-US" w:eastAsia="en-GB"/>
        </w:rPr>
        <w:t xml:space="preserve"> per cent. The total foreign holding of US Treasury Securities </w:t>
      </w:r>
      <w:r>
        <w:rPr>
          <w:rFonts w:ascii="Palatino Linotype" w:eastAsia="Times New Roman" w:hAnsi="Palatino Linotype"/>
          <w:bCs/>
          <w:sz w:val="22"/>
          <w:szCs w:val="22"/>
          <w:lang w:val="en-US" w:eastAsia="en-GB"/>
        </w:rPr>
        <w:t>at the end of</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 was USD 7</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0</w:t>
      </w:r>
      <w:r>
        <w:rPr>
          <w:rFonts w:ascii="Palatino Linotype" w:eastAsia="Times New Roman" w:hAnsi="Palatino Linotype"/>
          <w:bCs/>
          <w:sz w:val="22"/>
          <w:szCs w:val="22"/>
          <w:lang w:val="en-US" w:eastAsia="en-GB"/>
        </w:rPr>
        <w:t>68</w:t>
      </w:r>
      <w:r w:rsidRPr="00272724">
        <w:rPr>
          <w:rFonts w:ascii="Palatino Linotype" w:eastAsia="Times New Roman" w:hAnsi="Palatino Linotype"/>
          <w:bCs/>
          <w:sz w:val="22"/>
          <w:szCs w:val="22"/>
          <w:lang w:val="en-US" w:eastAsia="en-GB"/>
        </w:rPr>
        <w:t xml:space="preserve"> billion. The holdings of US Treasury Securities by India slightly increased to 3.</w:t>
      </w:r>
      <w:r>
        <w:rPr>
          <w:rFonts w:ascii="Palatino Linotype" w:eastAsia="Times New Roman" w:hAnsi="Palatino Linotype"/>
          <w:bCs/>
          <w:sz w:val="22"/>
          <w:szCs w:val="22"/>
          <w:lang w:val="en-US" w:eastAsia="en-GB"/>
        </w:rPr>
        <w:t>1</w:t>
      </w:r>
      <w:r w:rsidRPr="00272724">
        <w:rPr>
          <w:rFonts w:ascii="Palatino Linotype" w:eastAsia="Times New Roman" w:hAnsi="Palatino Linotype"/>
          <w:bCs/>
          <w:sz w:val="22"/>
          <w:szCs w:val="22"/>
          <w:lang w:val="en-US" w:eastAsia="en-GB"/>
        </w:rPr>
        <w:t xml:space="preserve"> per cent at the end of </w:t>
      </w:r>
      <w:r>
        <w:rPr>
          <w:rFonts w:ascii="Palatino Linotype" w:eastAsia="Times New Roman" w:hAnsi="Palatino Linotype"/>
          <w:bCs/>
          <w:sz w:val="22"/>
          <w:szCs w:val="22"/>
          <w:lang w:val="en-US" w:eastAsia="en-GB"/>
        </w:rPr>
        <w:t>October</w:t>
      </w:r>
      <w:r w:rsidRPr="00272724">
        <w:rPr>
          <w:rFonts w:ascii="Palatino Linotype" w:eastAsia="Times New Roman" w:hAnsi="Palatino Linotype"/>
          <w:bCs/>
          <w:sz w:val="22"/>
          <w:szCs w:val="22"/>
          <w:lang w:val="en-US" w:eastAsia="en-GB"/>
        </w:rPr>
        <w:t xml:space="preserve"> 2020 from </w:t>
      </w:r>
      <w:r>
        <w:rPr>
          <w:rFonts w:ascii="Palatino Linotype" w:eastAsia="Times New Roman" w:hAnsi="Palatino Linotype"/>
          <w:bCs/>
          <w:sz w:val="22"/>
          <w:szCs w:val="22"/>
          <w:lang w:val="en-US" w:eastAsia="en-GB"/>
        </w:rPr>
        <w:t>3.0</w:t>
      </w:r>
      <w:r w:rsidRPr="00272724">
        <w:rPr>
          <w:rFonts w:ascii="Palatino Linotype" w:eastAsia="Times New Roman" w:hAnsi="Palatino Linotype"/>
          <w:bCs/>
          <w:sz w:val="22"/>
          <w:szCs w:val="22"/>
          <w:lang w:val="en-US" w:eastAsia="en-GB"/>
        </w:rPr>
        <w:t xml:space="preserve"> per cent a month earlier.</w:t>
      </w:r>
    </w:p>
    <w:p w:rsidR="009C796D" w:rsidRPr="00272724" w:rsidRDefault="009C796D" w:rsidP="009C796D">
      <w:pPr>
        <w:rPr>
          <w:rFonts w:ascii="Garamond" w:hAnsi="Garamond"/>
          <w:b/>
          <w:bCs/>
          <w:szCs w:val="22"/>
        </w:rPr>
      </w:pPr>
    </w:p>
    <w:p w:rsidR="009C796D" w:rsidRPr="00272724" w:rsidRDefault="009C796D" w:rsidP="009C796D">
      <w:pPr>
        <w:rPr>
          <w:rFonts w:ascii="Garamond" w:hAnsi="Garamond"/>
          <w:b/>
          <w:bCs/>
          <w:szCs w:val="22"/>
        </w:rPr>
      </w:pPr>
    </w:p>
    <w:p w:rsidR="009C796D" w:rsidRPr="00272724" w:rsidRDefault="009C796D" w:rsidP="009C796D">
      <w:pPr>
        <w:rPr>
          <w:rFonts w:ascii="Garamond" w:hAnsi="Garamond"/>
          <w:bCs/>
          <w:szCs w:val="22"/>
        </w:rPr>
      </w:pPr>
      <w:r w:rsidRPr="00272724">
        <w:rPr>
          <w:rFonts w:ascii="Garamond" w:hAnsi="Garamond"/>
          <w:b/>
          <w:bCs/>
          <w:szCs w:val="22"/>
        </w:rPr>
        <w:t>Figure 5: Movement of the Major Currencies against USD</w:t>
      </w:r>
    </w:p>
    <w:p w:rsidR="009C796D" w:rsidRPr="00272724" w:rsidRDefault="009C796D" w:rsidP="009C796D">
      <w:pPr>
        <w:spacing w:line="23" w:lineRule="atLeast"/>
        <w:jc w:val="both"/>
        <w:rPr>
          <w:rFonts w:ascii="Garamond" w:hAnsi="Garamond"/>
          <w:bCs/>
          <w:sz w:val="18"/>
          <w:szCs w:val="18"/>
        </w:rPr>
      </w:pPr>
      <w:r w:rsidRPr="002518BB">
        <w:rPr>
          <w:rFonts w:ascii="Garamond" w:hAnsi="Garamond"/>
          <w:bCs/>
          <w:noProof/>
          <w:sz w:val="18"/>
          <w:szCs w:val="18"/>
          <w:lang w:val="en-IN" w:eastAsia="en-IN" w:bidi="hi-IN"/>
        </w:rPr>
        <w:drawing>
          <wp:inline distT="0" distB="0" distL="0" distR="0">
            <wp:extent cx="5667375" cy="3543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7375" cy="3543300"/>
                    </a:xfrm>
                    <a:prstGeom prst="rect">
                      <a:avLst/>
                    </a:prstGeom>
                    <a:noFill/>
                    <a:ln>
                      <a:noFill/>
                    </a:ln>
                  </pic:spPr>
                </pic:pic>
              </a:graphicData>
            </a:graphic>
          </wp:inline>
        </w:drawing>
      </w:r>
    </w:p>
    <w:p w:rsidR="009C796D" w:rsidRPr="00272724" w:rsidRDefault="009C796D" w:rsidP="009C796D">
      <w:pPr>
        <w:spacing w:line="23" w:lineRule="atLeast"/>
        <w:jc w:val="both"/>
        <w:rPr>
          <w:rFonts w:ascii="Garamond" w:hAnsi="Garamond"/>
          <w:bCs/>
          <w:sz w:val="18"/>
          <w:szCs w:val="18"/>
        </w:rPr>
      </w:pPr>
      <w:r w:rsidRPr="00272724">
        <w:rPr>
          <w:rFonts w:ascii="Garamond" w:hAnsi="Garamond"/>
          <w:bCs/>
          <w:sz w:val="18"/>
          <w:szCs w:val="18"/>
        </w:rPr>
        <w:t xml:space="preserve">Note: All indices have been normalised to 100 on </w:t>
      </w:r>
      <w:r>
        <w:rPr>
          <w:rFonts w:ascii="Garamond" w:hAnsi="Garamond"/>
          <w:bCs/>
          <w:sz w:val="18"/>
          <w:szCs w:val="18"/>
        </w:rPr>
        <w:t>30 November</w:t>
      </w:r>
      <w:r w:rsidRPr="00272724">
        <w:rPr>
          <w:rFonts w:ascii="Garamond" w:hAnsi="Garamond"/>
          <w:bCs/>
          <w:sz w:val="18"/>
          <w:szCs w:val="18"/>
        </w:rPr>
        <w:t xml:space="preserve"> 2019.</w:t>
      </w:r>
    </w:p>
    <w:p w:rsidR="009C796D" w:rsidRPr="00272724" w:rsidRDefault="009C796D" w:rsidP="009C796D">
      <w:pPr>
        <w:spacing w:line="23" w:lineRule="atLeast"/>
        <w:outlineLvl w:val="0"/>
        <w:rPr>
          <w:rFonts w:ascii="Garamond" w:hAnsi="Garamond"/>
          <w:bCs/>
          <w:sz w:val="18"/>
          <w:szCs w:val="18"/>
        </w:rPr>
      </w:pPr>
      <w:r w:rsidRPr="00272724">
        <w:rPr>
          <w:rFonts w:ascii="Garamond" w:hAnsi="Garamond"/>
          <w:bCs/>
          <w:sz w:val="18"/>
          <w:szCs w:val="18"/>
        </w:rPr>
        <w:t>Source: Bloomberg</w:t>
      </w:r>
    </w:p>
    <w:p w:rsidR="009C796D" w:rsidRPr="00272724" w:rsidRDefault="009C796D" w:rsidP="009C796D">
      <w:pPr>
        <w:rPr>
          <w:rFonts w:ascii="Garamond" w:hAnsi="Garamond"/>
          <w:b/>
          <w:bCs/>
          <w:szCs w:val="22"/>
        </w:rPr>
      </w:pPr>
    </w:p>
    <w:p w:rsidR="009C796D" w:rsidRPr="00272724" w:rsidRDefault="009C796D" w:rsidP="009C796D">
      <w:pPr>
        <w:rPr>
          <w:rFonts w:ascii="Garamond" w:hAnsi="Garamond"/>
          <w:b/>
          <w:bCs/>
          <w:szCs w:val="22"/>
        </w:rPr>
      </w:pPr>
    </w:p>
    <w:p w:rsidR="009C796D" w:rsidRPr="00272724" w:rsidRDefault="009C796D" w:rsidP="009C796D">
      <w:pPr>
        <w:rPr>
          <w:rFonts w:ascii="Garamond" w:hAnsi="Garamond"/>
          <w:b/>
          <w:bCs/>
          <w:szCs w:val="22"/>
        </w:rPr>
      </w:pPr>
      <w:r w:rsidRPr="00272724">
        <w:rPr>
          <w:rFonts w:ascii="Garamond" w:hAnsi="Garamond"/>
          <w:b/>
          <w:bCs/>
          <w:szCs w:val="22"/>
        </w:rPr>
        <w:br w:type="page"/>
        <w:t>Figure 6: Movement of the US Dollar Index and MSCI EM Currency Index</w:t>
      </w:r>
    </w:p>
    <w:p w:rsidR="009C796D" w:rsidRPr="00272724" w:rsidRDefault="009C796D" w:rsidP="009C796D">
      <w:pPr>
        <w:spacing w:line="23" w:lineRule="atLeast"/>
        <w:outlineLvl w:val="0"/>
        <w:rPr>
          <w:rFonts w:ascii="Garamond" w:hAnsi="Garamond"/>
          <w:bCs/>
          <w:sz w:val="22"/>
          <w:szCs w:val="22"/>
        </w:rPr>
      </w:pPr>
    </w:p>
    <w:p w:rsidR="009C796D" w:rsidRPr="00272724" w:rsidRDefault="009C796D" w:rsidP="009C796D">
      <w:pPr>
        <w:spacing w:line="23" w:lineRule="atLeast"/>
        <w:outlineLvl w:val="0"/>
        <w:rPr>
          <w:rFonts w:ascii="Garamond" w:hAnsi="Garamond"/>
          <w:bCs/>
          <w:sz w:val="22"/>
          <w:szCs w:val="22"/>
        </w:rPr>
      </w:pPr>
      <w:r w:rsidRPr="002518BB">
        <w:rPr>
          <w:rFonts w:ascii="Garamond" w:hAnsi="Garamond"/>
          <w:bCs/>
          <w:noProof/>
          <w:sz w:val="22"/>
          <w:szCs w:val="22"/>
          <w:lang w:val="en-IN" w:eastAsia="en-IN" w:bidi="hi-IN"/>
        </w:rPr>
        <w:drawing>
          <wp:inline distT="0" distB="0" distL="0" distR="0">
            <wp:extent cx="5734050" cy="3095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3095625"/>
                    </a:xfrm>
                    <a:prstGeom prst="rect">
                      <a:avLst/>
                    </a:prstGeom>
                    <a:noFill/>
                    <a:ln>
                      <a:noFill/>
                    </a:ln>
                  </pic:spPr>
                </pic:pic>
              </a:graphicData>
            </a:graphic>
          </wp:inline>
        </w:drawing>
      </w:r>
    </w:p>
    <w:p w:rsidR="009C796D" w:rsidRPr="00272724" w:rsidRDefault="009C796D" w:rsidP="009C796D">
      <w:pPr>
        <w:tabs>
          <w:tab w:val="left" w:pos="3760"/>
        </w:tabs>
        <w:spacing w:line="23" w:lineRule="atLeast"/>
        <w:rPr>
          <w:rFonts w:ascii="Garamond" w:hAnsi="Garamond"/>
          <w:bCs/>
          <w:sz w:val="18"/>
          <w:szCs w:val="18"/>
        </w:rPr>
      </w:pPr>
      <w:r w:rsidRPr="00272724">
        <w:rPr>
          <w:rFonts w:ascii="Garamond" w:hAnsi="Garamond"/>
          <w:bCs/>
          <w:sz w:val="18"/>
          <w:szCs w:val="18"/>
        </w:rPr>
        <w:t>Note:</w:t>
      </w:r>
    </w:p>
    <w:p w:rsidR="009C796D" w:rsidRPr="00272724" w:rsidRDefault="009C796D" w:rsidP="009C796D">
      <w:pPr>
        <w:widowControl w:val="0"/>
        <w:numPr>
          <w:ilvl w:val="0"/>
          <w:numId w:val="15"/>
        </w:numPr>
        <w:autoSpaceDE w:val="0"/>
        <w:autoSpaceDN w:val="0"/>
        <w:adjustRightInd w:val="0"/>
        <w:spacing w:line="23" w:lineRule="atLeast"/>
        <w:ind w:right="1788"/>
        <w:jc w:val="both"/>
        <w:rPr>
          <w:rFonts w:ascii="Garamond" w:eastAsia="Times New Roman" w:hAnsi="Garamond"/>
          <w:bCs/>
          <w:sz w:val="18"/>
          <w:szCs w:val="18"/>
        </w:rPr>
      </w:pPr>
      <w:r w:rsidRPr="00272724">
        <w:rPr>
          <w:rFonts w:ascii="Garamond" w:eastAsia="Times New Roman" w:hAnsi="Garamond"/>
          <w:bCs/>
          <w:sz w:val="18"/>
          <w:szCs w:val="18"/>
        </w:rPr>
        <w:t xml:space="preserve">All indices have been normalised to 100 on </w:t>
      </w:r>
      <w:r>
        <w:rPr>
          <w:rFonts w:ascii="Garamond" w:eastAsia="Times New Roman" w:hAnsi="Garamond"/>
          <w:bCs/>
          <w:sz w:val="18"/>
          <w:szCs w:val="18"/>
        </w:rPr>
        <w:t xml:space="preserve">30 November </w:t>
      </w:r>
      <w:r w:rsidRPr="00272724">
        <w:rPr>
          <w:rFonts w:ascii="Garamond" w:eastAsia="Times New Roman" w:hAnsi="Garamond"/>
          <w:bCs/>
          <w:sz w:val="18"/>
          <w:szCs w:val="18"/>
        </w:rPr>
        <w:t>2019.</w:t>
      </w:r>
    </w:p>
    <w:p w:rsidR="009C796D" w:rsidRPr="00272724" w:rsidRDefault="009C796D" w:rsidP="009C796D">
      <w:pPr>
        <w:widowControl w:val="0"/>
        <w:numPr>
          <w:ilvl w:val="0"/>
          <w:numId w:val="15"/>
        </w:numPr>
        <w:autoSpaceDE w:val="0"/>
        <w:autoSpaceDN w:val="0"/>
        <w:adjustRightInd w:val="0"/>
        <w:spacing w:line="23" w:lineRule="atLeast"/>
        <w:ind w:right="1788"/>
        <w:jc w:val="both"/>
        <w:rPr>
          <w:rFonts w:ascii="Garamond" w:eastAsia="Times New Roman" w:hAnsi="Garamond"/>
          <w:bCs/>
          <w:sz w:val="18"/>
          <w:szCs w:val="18"/>
        </w:rPr>
      </w:pPr>
      <w:r w:rsidRPr="00272724">
        <w:rPr>
          <w:rFonts w:ascii="Garamond" w:eastAsia="Times New Roman" w:hAnsi="Garamond"/>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9C796D" w:rsidRPr="00272724" w:rsidRDefault="009C796D" w:rsidP="009C796D">
      <w:pPr>
        <w:widowControl w:val="0"/>
        <w:numPr>
          <w:ilvl w:val="0"/>
          <w:numId w:val="15"/>
        </w:numPr>
        <w:autoSpaceDE w:val="0"/>
        <w:autoSpaceDN w:val="0"/>
        <w:adjustRightInd w:val="0"/>
        <w:spacing w:line="23" w:lineRule="atLeast"/>
        <w:ind w:right="1788"/>
        <w:jc w:val="both"/>
        <w:rPr>
          <w:rFonts w:ascii="Garamond" w:eastAsia="Times New Roman" w:hAnsi="Garamond"/>
          <w:bCs/>
          <w:sz w:val="18"/>
          <w:szCs w:val="18"/>
        </w:rPr>
      </w:pPr>
      <w:r w:rsidRPr="00272724">
        <w:rPr>
          <w:rFonts w:ascii="Garamond" w:eastAsia="Times New Roman" w:hAnsi="Garamond"/>
          <w:bCs/>
          <w:sz w:val="18"/>
          <w:szCs w:val="18"/>
        </w:rPr>
        <w:t>The MSCI Emerging Markets (EM) Currency Index tracks the performance of twenty-five emerging-market currencies relative to the US Dollar.</w:t>
      </w:r>
    </w:p>
    <w:p w:rsidR="009C796D" w:rsidRPr="00272724" w:rsidRDefault="009C796D" w:rsidP="009C796D">
      <w:pPr>
        <w:spacing w:line="23" w:lineRule="atLeast"/>
        <w:outlineLvl w:val="0"/>
        <w:rPr>
          <w:rFonts w:ascii="Garamond" w:hAnsi="Garamond"/>
          <w:bCs/>
          <w:sz w:val="18"/>
          <w:szCs w:val="18"/>
        </w:rPr>
      </w:pPr>
      <w:r w:rsidRPr="00272724">
        <w:rPr>
          <w:rFonts w:ascii="Garamond" w:hAnsi="Garamond"/>
          <w:bCs/>
          <w:sz w:val="18"/>
          <w:szCs w:val="18"/>
        </w:rPr>
        <w:t>Source: Bloomberg</w:t>
      </w:r>
    </w:p>
    <w:p w:rsidR="009C796D" w:rsidRPr="00272724" w:rsidRDefault="009C796D" w:rsidP="009C796D">
      <w:pPr>
        <w:spacing w:after="240" w:line="23" w:lineRule="atLeast"/>
        <w:jc w:val="both"/>
        <w:rPr>
          <w:rFonts w:ascii="Garamond" w:eastAsia="Times New Roman" w:hAnsi="Garamond"/>
          <w:bCs/>
          <w:strike/>
          <w:sz w:val="18"/>
          <w:szCs w:val="18"/>
          <w:lang w:eastAsia="en-GB"/>
        </w:rPr>
      </w:pPr>
    </w:p>
    <w:p w:rsidR="009C796D" w:rsidRPr="00272724" w:rsidRDefault="009C796D" w:rsidP="009C796D">
      <w:pPr>
        <w:spacing w:after="240" w:line="23" w:lineRule="atLeast"/>
        <w:jc w:val="both"/>
        <w:rPr>
          <w:rFonts w:ascii="Garamond" w:eastAsia="Times New Roman" w:hAnsi="Garamond"/>
          <w:bCs/>
          <w:strike/>
          <w:sz w:val="18"/>
          <w:szCs w:val="18"/>
          <w:lang w:eastAsia="en-GB"/>
        </w:rPr>
      </w:pPr>
    </w:p>
    <w:p w:rsidR="009C796D" w:rsidRPr="00272724" w:rsidRDefault="009C796D" w:rsidP="009C796D">
      <w:pPr>
        <w:spacing w:after="240" w:line="23" w:lineRule="atLeast"/>
        <w:jc w:val="both"/>
        <w:rPr>
          <w:rFonts w:ascii="Garamond" w:eastAsia="Times New Roman" w:hAnsi="Garamond"/>
          <w:bCs/>
          <w:strike/>
          <w:sz w:val="18"/>
          <w:szCs w:val="18"/>
          <w:lang w:eastAsia="en-GB"/>
        </w:rPr>
      </w:pPr>
    </w:p>
    <w:p w:rsidR="009C796D" w:rsidRPr="00272724" w:rsidRDefault="009C796D" w:rsidP="009C796D">
      <w:pPr>
        <w:spacing w:after="240" w:line="23" w:lineRule="atLeast"/>
        <w:jc w:val="both"/>
        <w:rPr>
          <w:rFonts w:ascii="Garamond" w:eastAsia="Times New Roman" w:hAnsi="Garamond"/>
          <w:bCs/>
          <w:strike/>
          <w:sz w:val="18"/>
          <w:szCs w:val="18"/>
          <w:lang w:eastAsia="en-GB"/>
        </w:rPr>
      </w:pPr>
    </w:p>
    <w:p w:rsidR="009C796D" w:rsidRPr="00272724" w:rsidRDefault="009C796D" w:rsidP="009C796D">
      <w:pPr>
        <w:spacing w:after="240" w:line="23" w:lineRule="atLeast"/>
        <w:jc w:val="both"/>
        <w:rPr>
          <w:rFonts w:ascii="Garamond" w:eastAsia="Times New Roman" w:hAnsi="Garamond"/>
          <w:bCs/>
          <w:strike/>
          <w:sz w:val="18"/>
          <w:szCs w:val="18"/>
          <w:lang w:eastAsia="en-GB"/>
        </w:rPr>
      </w:pPr>
    </w:p>
    <w:p w:rsidR="009C796D" w:rsidRPr="00272724" w:rsidRDefault="009C796D" w:rsidP="009C796D">
      <w:pPr>
        <w:spacing w:after="240" w:line="23" w:lineRule="atLeast"/>
        <w:jc w:val="both"/>
        <w:rPr>
          <w:rFonts w:ascii="Garamond" w:eastAsia="Times New Roman" w:hAnsi="Garamond"/>
          <w:bCs/>
          <w:strike/>
          <w:sz w:val="18"/>
          <w:szCs w:val="18"/>
          <w:lang w:eastAsia="en-GB"/>
        </w:rPr>
      </w:pPr>
    </w:p>
    <w:p w:rsidR="009C796D" w:rsidRPr="00272724" w:rsidRDefault="009C796D" w:rsidP="009C796D">
      <w:pPr>
        <w:spacing w:after="240" w:line="23" w:lineRule="atLeast"/>
        <w:jc w:val="both"/>
        <w:rPr>
          <w:rFonts w:ascii="Garamond" w:eastAsia="Times New Roman" w:hAnsi="Garamond"/>
          <w:bCs/>
          <w:strike/>
          <w:sz w:val="18"/>
          <w:szCs w:val="18"/>
          <w:lang w:eastAsia="en-GB"/>
        </w:rPr>
      </w:pPr>
    </w:p>
    <w:p w:rsidR="009C796D" w:rsidRPr="00272724" w:rsidRDefault="009C796D" w:rsidP="009C796D">
      <w:pPr>
        <w:spacing w:after="240" w:line="23" w:lineRule="atLeast"/>
        <w:jc w:val="both"/>
        <w:rPr>
          <w:rFonts w:ascii="Garamond" w:eastAsia="Times New Roman" w:hAnsi="Garamond"/>
          <w:bCs/>
          <w:strike/>
          <w:sz w:val="18"/>
          <w:szCs w:val="18"/>
          <w:lang w:eastAsia="en-GB"/>
        </w:rPr>
      </w:pPr>
    </w:p>
    <w:p w:rsidR="009C796D" w:rsidRPr="00272724" w:rsidRDefault="009C796D" w:rsidP="009C796D">
      <w:pPr>
        <w:rPr>
          <w:rFonts w:ascii="Garamond" w:hAnsi="Garamond"/>
          <w:b/>
          <w:bCs/>
          <w:szCs w:val="22"/>
        </w:rPr>
      </w:pPr>
      <w:r w:rsidRPr="00272724">
        <w:rPr>
          <w:rFonts w:ascii="Garamond" w:hAnsi="Garamond"/>
          <w:b/>
          <w:bCs/>
          <w:szCs w:val="22"/>
        </w:rPr>
        <w:br w:type="page"/>
      </w:r>
    </w:p>
    <w:p w:rsidR="009C796D" w:rsidRPr="00272724" w:rsidRDefault="009C796D" w:rsidP="009C796D">
      <w:pPr>
        <w:rPr>
          <w:rFonts w:ascii="Garamond" w:hAnsi="Garamond"/>
          <w:b/>
          <w:bCs/>
          <w:szCs w:val="22"/>
        </w:rPr>
      </w:pPr>
      <w:r w:rsidRPr="00272724">
        <w:rPr>
          <w:rFonts w:ascii="Garamond" w:hAnsi="Garamond"/>
          <w:b/>
          <w:bCs/>
          <w:szCs w:val="22"/>
        </w:rPr>
        <w:t>Table A1: Performance of Stock Indices</w:t>
      </w:r>
    </w:p>
    <w:tbl>
      <w:tblPr>
        <w:tblW w:w="11209" w:type="dxa"/>
        <w:jc w:val="center"/>
        <w:tblLook w:val="04A0" w:firstRow="1" w:lastRow="0" w:firstColumn="1" w:lastColumn="0" w:noHBand="0" w:noVBand="1"/>
      </w:tblPr>
      <w:tblGrid>
        <w:gridCol w:w="1266"/>
        <w:gridCol w:w="1801"/>
        <w:gridCol w:w="1566"/>
        <w:gridCol w:w="1096"/>
        <w:gridCol w:w="1116"/>
        <w:gridCol w:w="1101"/>
        <w:gridCol w:w="1116"/>
        <w:gridCol w:w="1312"/>
        <w:gridCol w:w="835"/>
      </w:tblGrid>
      <w:tr w:rsidR="009C796D" w:rsidRPr="002518BB" w:rsidTr="00BB5AE6">
        <w:trPr>
          <w:trHeight w:val="199"/>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Country</w:t>
            </w:r>
          </w:p>
        </w:tc>
        <w:tc>
          <w:tcPr>
            <w:tcW w:w="1801"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Name of the Index</w:t>
            </w:r>
          </w:p>
        </w:tc>
        <w:tc>
          <w:tcPr>
            <w:tcW w:w="1566" w:type="dxa"/>
            <w:tcBorders>
              <w:top w:val="single" w:sz="8" w:space="0" w:color="auto"/>
              <w:left w:val="nil"/>
              <w:bottom w:val="nil"/>
              <w:right w:val="single" w:sz="8" w:space="0" w:color="auto"/>
            </w:tcBorders>
            <w:shd w:val="clear" w:color="000000" w:fill="B4C6E7"/>
            <w:noWrap/>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Closing Value as on</w:t>
            </w:r>
          </w:p>
        </w:tc>
        <w:tc>
          <w:tcPr>
            <w:tcW w:w="4429" w:type="dxa"/>
            <w:gridSpan w:val="4"/>
            <w:tcBorders>
              <w:top w:val="single" w:sz="8" w:space="0" w:color="auto"/>
              <w:left w:val="nil"/>
              <w:bottom w:val="single" w:sz="8" w:space="0" w:color="auto"/>
              <w:right w:val="single" w:sz="8" w:space="0" w:color="000000"/>
            </w:tcBorders>
            <w:shd w:val="clear" w:color="000000" w:fill="B4C6E7"/>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Closing Value before</w:t>
            </w:r>
          </w:p>
        </w:tc>
        <w:tc>
          <w:tcPr>
            <w:tcW w:w="1312"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Monthly Volatility (Annualised)</w:t>
            </w:r>
          </w:p>
        </w:tc>
        <w:tc>
          <w:tcPr>
            <w:tcW w:w="835"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P/E Ratio</w:t>
            </w:r>
          </w:p>
        </w:tc>
      </w:tr>
      <w:tr w:rsidR="009C796D" w:rsidRPr="002518BB" w:rsidTr="00BB5AE6">
        <w:trPr>
          <w:trHeight w:val="199"/>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rsidR="009C796D" w:rsidRPr="00272724" w:rsidRDefault="009C796D" w:rsidP="00BB5AE6">
            <w:pPr>
              <w:rPr>
                <w:rFonts w:ascii="Garamond" w:eastAsia="Times New Roman" w:hAnsi="Garamond" w:cs="Calibri"/>
                <w:b/>
                <w:bCs/>
                <w:color w:val="000000"/>
                <w:sz w:val="20"/>
                <w:szCs w:val="20"/>
                <w:lang w:val="en-IN" w:eastAsia="en-IN"/>
              </w:rPr>
            </w:pPr>
          </w:p>
        </w:tc>
        <w:tc>
          <w:tcPr>
            <w:tcW w:w="1801" w:type="dxa"/>
            <w:vMerge/>
            <w:tcBorders>
              <w:top w:val="single" w:sz="8" w:space="0" w:color="auto"/>
              <w:left w:val="single" w:sz="8" w:space="0" w:color="auto"/>
              <w:bottom w:val="single" w:sz="8" w:space="0" w:color="000000"/>
              <w:right w:val="single" w:sz="8" w:space="0" w:color="auto"/>
            </w:tcBorders>
            <w:vAlign w:val="center"/>
            <w:hideMark/>
          </w:tcPr>
          <w:p w:rsidR="009C796D" w:rsidRPr="00272724" w:rsidRDefault="009C796D" w:rsidP="00BB5AE6">
            <w:pPr>
              <w:rPr>
                <w:rFonts w:ascii="Garamond" w:eastAsia="Times New Roman" w:hAnsi="Garamond" w:cs="Calibri"/>
                <w:b/>
                <w:bCs/>
                <w:color w:val="000000"/>
                <w:sz w:val="20"/>
                <w:szCs w:val="20"/>
                <w:lang w:val="en-IN" w:eastAsia="en-IN"/>
              </w:rPr>
            </w:pPr>
          </w:p>
        </w:tc>
        <w:tc>
          <w:tcPr>
            <w:tcW w:w="1566" w:type="dxa"/>
            <w:tcBorders>
              <w:top w:val="nil"/>
              <w:left w:val="nil"/>
              <w:bottom w:val="single" w:sz="8" w:space="0" w:color="auto"/>
              <w:right w:val="single" w:sz="8" w:space="0" w:color="auto"/>
            </w:tcBorders>
            <w:shd w:val="clear" w:color="000000" w:fill="B4C6E7"/>
            <w:noWrap/>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30-Nov</w:t>
            </w:r>
            <w:r w:rsidRPr="00272724">
              <w:rPr>
                <w:rFonts w:ascii="Garamond" w:eastAsia="Times New Roman" w:hAnsi="Garamond" w:cs="Calibri"/>
                <w:b/>
                <w:bCs/>
                <w:color w:val="000000"/>
                <w:sz w:val="20"/>
                <w:szCs w:val="20"/>
                <w:lang w:val="en-IN" w:eastAsia="en-IN"/>
              </w:rPr>
              <w:t>-2020</w:t>
            </w:r>
          </w:p>
        </w:tc>
        <w:tc>
          <w:tcPr>
            <w:tcW w:w="1096" w:type="dxa"/>
            <w:tcBorders>
              <w:top w:val="nil"/>
              <w:left w:val="nil"/>
              <w:bottom w:val="single" w:sz="8" w:space="0" w:color="auto"/>
              <w:right w:val="single" w:sz="8" w:space="0" w:color="auto"/>
            </w:tcBorders>
            <w:shd w:val="clear" w:color="000000" w:fill="B4C6E7"/>
            <w:noWrap/>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1-Month</w:t>
            </w:r>
          </w:p>
        </w:tc>
        <w:tc>
          <w:tcPr>
            <w:tcW w:w="1116" w:type="dxa"/>
            <w:tcBorders>
              <w:top w:val="nil"/>
              <w:left w:val="nil"/>
              <w:bottom w:val="single" w:sz="8" w:space="0" w:color="auto"/>
              <w:right w:val="single" w:sz="8" w:space="0" w:color="auto"/>
            </w:tcBorders>
            <w:shd w:val="clear" w:color="000000" w:fill="B4C6E7"/>
            <w:noWrap/>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3-Month</w:t>
            </w:r>
          </w:p>
        </w:tc>
        <w:tc>
          <w:tcPr>
            <w:tcW w:w="1101" w:type="dxa"/>
            <w:tcBorders>
              <w:top w:val="nil"/>
              <w:left w:val="nil"/>
              <w:bottom w:val="single" w:sz="8" w:space="0" w:color="auto"/>
              <w:right w:val="single" w:sz="8" w:space="0" w:color="auto"/>
            </w:tcBorders>
            <w:shd w:val="clear" w:color="000000" w:fill="B4C6E7"/>
            <w:noWrap/>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6-Month</w:t>
            </w:r>
          </w:p>
        </w:tc>
        <w:tc>
          <w:tcPr>
            <w:tcW w:w="1116" w:type="dxa"/>
            <w:tcBorders>
              <w:top w:val="nil"/>
              <w:left w:val="nil"/>
              <w:bottom w:val="single" w:sz="8" w:space="0" w:color="auto"/>
              <w:right w:val="single" w:sz="8" w:space="0" w:color="auto"/>
            </w:tcBorders>
            <w:shd w:val="clear" w:color="000000" w:fill="B4C6E7"/>
            <w:noWrap/>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1-Year</w:t>
            </w:r>
          </w:p>
        </w:tc>
        <w:tc>
          <w:tcPr>
            <w:tcW w:w="1312" w:type="dxa"/>
            <w:vMerge/>
            <w:tcBorders>
              <w:top w:val="single" w:sz="8" w:space="0" w:color="auto"/>
              <w:left w:val="single" w:sz="8" w:space="0" w:color="auto"/>
              <w:bottom w:val="single" w:sz="8" w:space="0" w:color="000000"/>
              <w:right w:val="single" w:sz="8" w:space="0" w:color="auto"/>
            </w:tcBorders>
            <w:vAlign w:val="center"/>
            <w:hideMark/>
          </w:tcPr>
          <w:p w:rsidR="009C796D" w:rsidRPr="00272724" w:rsidRDefault="009C796D" w:rsidP="00BB5AE6">
            <w:pPr>
              <w:rPr>
                <w:rFonts w:ascii="Garamond" w:eastAsia="Times New Roman" w:hAnsi="Garamond" w:cs="Calibri"/>
                <w:b/>
                <w:bCs/>
                <w:color w:val="000000"/>
                <w:sz w:val="20"/>
                <w:szCs w:val="20"/>
                <w:lang w:val="en-IN" w:eastAsia="en-IN"/>
              </w:rPr>
            </w:pPr>
          </w:p>
        </w:tc>
        <w:tc>
          <w:tcPr>
            <w:tcW w:w="835" w:type="dxa"/>
            <w:vMerge/>
            <w:tcBorders>
              <w:top w:val="single" w:sz="8" w:space="0" w:color="auto"/>
              <w:left w:val="single" w:sz="8" w:space="0" w:color="auto"/>
              <w:bottom w:val="single" w:sz="8" w:space="0" w:color="000000"/>
              <w:right w:val="single" w:sz="8" w:space="0" w:color="auto"/>
            </w:tcBorders>
            <w:vAlign w:val="center"/>
            <w:hideMark/>
          </w:tcPr>
          <w:p w:rsidR="009C796D" w:rsidRPr="00272724" w:rsidRDefault="009C796D" w:rsidP="00BB5AE6">
            <w:pPr>
              <w:rPr>
                <w:rFonts w:ascii="Garamond" w:eastAsia="Times New Roman" w:hAnsi="Garamond" w:cs="Calibri"/>
                <w:b/>
                <w:bCs/>
                <w:color w:val="000000"/>
                <w:sz w:val="20"/>
                <w:szCs w:val="20"/>
                <w:lang w:val="en-IN" w:eastAsia="en-IN"/>
              </w:rPr>
            </w:pPr>
          </w:p>
        </w:tc>
      </w:tr>
      <w:tr w:rsidR="009C796D" w:rsidRPr="002518BB" w:rsidTr="00BB5AE6">
        <w:trPr>
          <w:trHeight w:val="199"/>
          <w:jc w:val="center"/>
        </w:trPr>
        <w:tc>
          <w:tcPr>
            <w:tcW w:w="11209" w:type="dxa"/>
            <w:gridSpan w:val="9"/>
            <w:tcBorders>
              <w:top w:val="single" w:sz="8" w:space="0" w:color="auto"/>
              <w:left w:val="single" w:sz="8" w:space="0" w:color="auto"/>
              <w:bottom w:val="single" w:sz="8" w:space="0" w:color="auto"/>
              <w:right w:val="single" w:sz="8" w:space="0" w:color="000000"/>
            </w:tcBorders>
            <w:shd w:val="clear" w:color="000000" w:fill="D9E1F2"/>
            <w:noWrap/>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BRICS Nations</w:t>
            </w:r>
          </w:p>
        </w:tc>
      </w:tr>
      <w:tr w:rsidR="009C796D" w:rsidRPr="002518BB" w:rsidTr="00BB5AE6">
        <w:trPr>
          <w:trHeight w:val="298"/>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Brazil</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BRAZIL IBOVESPA </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108893.3</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93952.4</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99369.2</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87402.6</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108233.3</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21.5</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50.7</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Russia</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RUSSIAN TRADED </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1632.6</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1329.5</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1617.5</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1678.0</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2109.2</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37.1</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11.8</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India</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Nifty 50</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12969.0</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11642.4</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11387.5</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9580.3</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12056.1</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13.1</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35.7</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India</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S&amp;P BSE SENSEX </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44149.7</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39614.1</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38628.3</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32424.1</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40793.8</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13.8</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31.5</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China</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SHANGHAI SE COMPOSITE</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3391.8</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3224.5</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3395.7</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2852.4</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2872.0</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12.6</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15.3</w:t>
            </w:r>
          </w:p>
        </w:tc>
      </w:tr>
      <w:tr w:rsidR="009C796D" w:rsidRPr="002518BB" w:rsidTr="00BB5AE6">
        <w:trPr>
          <w:trHeight w:val="199"/>
          <w:jc w:val="center"/>
        </w:trPr>
        <w:tc>
          <w:tcPr>
            <w:tcW w:w="1266" w:type="dxa"/>
            <w:tcBorders>
              <w:top w:val="nil"/>
              <w:left w:val="single" w:sz="8" w:space="0" w:color="auto"/>
              <w:bottom w:val="single" w:sz="8" w:space="0" w:color="auto"/>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South Africa</w:t>
            </w:r>
          </w:p>
        </w:tc>
        <w:tc>
          <w:tcPr>
            <w:tcW w:w="1801" w:type="dxa"/>
            <w:tcBorders>
              <w:top w:val="nil"/>
              <w:left w:val="nil"/>
              <w:bottom w:val="single" w:sz="8" w:space="0" w:color="auto"/>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FTSE/JSE AFRICA ALL SHR</w:t>
            </w:r>
          </w:p>
        </w:tc>
        <w:tc>
          <w:tcPr>
            <w:tcW w:w="1566"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57091.9</w:t>
            </w:r>
          </w:p>
        </w:tc>
        <w:tc>
          <w:tcPr>
            <w:tcW w:w="1096"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51684.7</w:t>
            </w:r>
          </w:p>
        </w:tc>
        <w:tc>
          <w:tcPr>
            <w:tcW w:w="1116"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55476.1</w:t>
            </w:r>
          </w:p>
        </w:tc>
        <w:tc>
          <w:tcPr>
            <w:tcW w:w="1101"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50483.0</w:t>
            </w:r>
          </w:p>
        </w:tc>
        <w:tc>
          <w:tcPr>
            <w:tcW w:w="1116"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55349.0</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16.4</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13.8</w:t>
            </w:r>
          </w:p>
        </w:tc>
      </w:tr>
      <w:tr w:rsidR="009C796D" w:rsidRPr="002518BB" w:rsidTr="00BB5AE6">
        <w:trPr>
          <w:trHeight w:val="199"/>
          <w:jc w:val="center"/>
        </w:trPr>
        <w:tc>
          <w:tcPr>
            <w:tcW w:w="11209" w:type="dxa"/>
            <w:gridSpan w:val="9"/>
            <w:tcBorders>
              <w:top w:val="single" w:sz="8" w:space="0" w:color="auto"/>
              <w:left w:val="single" w:sz="8" w:space="0" w:color="auto"/>
              <w:bottom w:val="single" w:sz="8" w:space="0" w:color="auto"/>
              <w:right w:val="single" w:sz="8" w:space="0" w:color="000000"/>
            </w:tcBorders>
            <w:shd w:val="clear" w:color="000000" w:fill="D9E1F2"/>
            <w:hideMark/>
          </w:tcPr>
          <w:p w:rsidR="009C796D" w:rsidRPr="00272724" w:rsidRDefault="009C796D" w:rsidP="00BB5AE6">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Developed Markets</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USA</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NASDAQ COMPOSITE </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12198.7</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10911.6</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11775.5</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9489.9</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8665.5</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20.0</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39.2</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USA</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DOW JONES INDUS. AVG</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29638.6</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26501.6</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28430.1</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25383.1</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28051.4</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18.4</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24.4</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France</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CAC 40 </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5518.6</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4594.2</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4947.2</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4695.4</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5905.2</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28.5</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28.4</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Germany</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DAX </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13291.2</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11556.5</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12945.4</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11586.9</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13236.4</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21.2</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19.5</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UK</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FTSE 100 </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6266.2</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5577.3</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5963.6</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6076.6</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7346.5</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21.9</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20.7</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Hong Kong</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HANG SENG </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26341.5</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24107.4</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25177.1</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22961.5</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26346.5</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16.1</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13.4</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South Korea</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KOSPI </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2591.3</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2267.2</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2326.2</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2029.6</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2088.0</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15.1</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42.9</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Japan</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NIKKEI 225</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26433.6</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22977.1</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23139.8</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21877.9</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23293.9</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16.0</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42.0</w:t>
            </w:r>
          </w:p>
        </w:tc>
      </w:tr>
      <w:tr w:rsidR="009C796D" w:rsidRPr="002518BB" w:rsidTr="00BB5AE6">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Singapore</w:t>
            </w:r>
          </w:p>
        </w:tc>
        <w:tc>
          <w:tcPr>
            <w:tcW w:w="1801" w:type="dxa"/>
            <w:tcBorders>
              <w:top w:val="nil"/>
              <w:left w:val="nil"/>
              <w:bottom w:val="nil"/>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STRAITS TIMES  STI</w:t>
            </w:r>
          </w:p>
        </w:tc>
        <w:tc>
          <w:tcPr>
            <w:tcW w:w="156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2806.0</w:t>
            </w:r>
          </w:p>
        </w:tc>
        <w:tc>
          <w:tcPr>
            <w:tcW w:w="109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2423.8</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2532.5</w:t>
            </w:r>
          </w:p>
        </w:tc>
        <w:tc>
          <w:tcPr>
            <w:tcW w:w="1101"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2510.8</w:t>
            </w:r>
          </w:p>
        </w:tc>
        <w:tc>
          <w:tcPr>
            <w:tcW w:w="1116"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3193.9</w:t>
            </w:r>
          </w:p>
        </w:tc>
        <w:tc>
          <w:tcPr>
            <w:tcW w:w="1312"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19.3</w:t>
            </w:r>
          </w:p>
        </w:tc>
        <w:tc>
          <w:tcPr>
            <w:tcW w:w="835" w:type="dxa"/>
            <w:tcBorders>
              <w:top w:val="nil"/>
              <w:left w:val="nil"/>
              <w:bottom w:val="nil"/>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19.1</w:t>
            </w:r>
          </w:p>
        </w:tc>
      </w:tr>
      <w:tr w:rsidR="009C796D" w:rsidRPr="002518BB" w:rsidTr="00BB5AE6">
        <w:trPr>
          <w:trHeight w:val="199"/>
          <w:jc w:val="center"/>
        </w:trPr>
        <w:tc>
          <w:tcPr>
            <w:tcW w:w="1266" w:type="dxa"/>
            <w:tcBorders>
              <w:top w:val="nil"/>
              <w:left w:val="single" w:sz="8" w:space="0" w:color="auto"/>
              <w:bottom w:val="single" w:sz="8" w:space="0" w:color="auto"/>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Taiwan</w:t>
            </w:r>
          </w:p>
        </w:tc>
        <w:tc>
          <w:tcPr>
            <w:tcW w:w="1801" w:type="dxa"/>
            <w:tcBorders>
              <w:top w:val="nil"/>
              <w:left w:val="nil"/>
              <w:bottom w:val="single" w:sz="8" w:space="0" w:color="auto"/>
              <w:right w:val="single" w:sz="8" w:space="0" w:color="auto"/>
            </w:tcBorders>
            <w:shd w:val="clear" w:color="000000" w:fill="D9E1F2"/>
            <w:noWrap/>
            <w:hideMark/>
          </w:tcPr>
          <w:p w:rsidR="009C796D" w:rsidRPr="00272724" w:rsidRDefault="009C796D" w:rsidP="00BB5AE6">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TAIWAN TAIEX </w:t>
            </w:r>
          </w:p>
        </w:tc>
        <w:tc>
          <w:tcPr>
            <w:tcW w:w="1566"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13722.9</w:t>
            </w:r>
          </w:p>
        </w:tc>
        <w:tc>
          <w:tcPr>
            <w:tcW w:w="1096"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12546.3</w:t>
            </w:r>
          </w:p>
        </w:tc>
        <w:tc>
          <w:tcPr>
            <w:tcW w:w="1116"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12591.5</w:t>
            </w:r>
          </w:p>
        </w:tc>
        <w:tc>
          <w:tcPr>
            <w:tcW w:w="1101"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10942.2</w:t>
            </w:r>
          </w:p>
        </w:tc>
        <w:tc>
          <w:tcPr>
            <w:tcW w:w="1116"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11489.6</w:t>
            </w:r>
          </w:p>
        </w:tc>
        <w:tc>
          <w:tcPr>
            <w:tcW w:w="1312"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12.3</w:t>
            </w:r>
          </w:p>
        </w:tc>
        <w:tc>
          <w:tcPr>
            <w:tcW w:w="835" w:type="dxa"/>
            <w:tcBorders>
              <w:top w:val="nil"/>
              <w:left w:val="nil"/>
              <w:bottom w:val="single" w:sz="8" w:space="0" w:color="auto"/>
              <w:right w:val="single" w:sz="8" w:space="0" w:color="auto"/>
            </w:tcBorders>
            <w:shd w:val="clear" w:color="auto" w:fill="auto"/>
            <w:noWrap/>
            <w:hideMark/>
          </w:tcPr>
          <w:p w:rsidR="009C796D" w:rsidRPr="002518BB" w:rsidRDefault="009C796D" w:rsidP="00BB5AE6">
            <w:pPr>
              <w:ind w:firstLineChars="100" w:firstLine="200"/>
              <w:jc w:val="right"/>
              <w:rPr>
                <w:rFonts w:ascii="Garamond" w:hAnsi="Garamond" w:cs="Calibri"/>
                <w:sz w:val="20"/>
                <w:szCs w:val="20"/>
              </w:rPr>
            </w:pPr>
            <w:r w:rsidRPr="002518BB">
              <w:rPr>
                <w:rFonts w:ascii="Garamond" w:hAnsi="Garamond" w:cs="Calibri"/>
                <w:sz w:val="20"/>
                <w:szCs w:val="20"/>
              </w:rPr>
              <w:t>22.0</w:t>
            </w:r>
          </w:p>
        </w:tc>
      </w:tr>
    </w:tbl>
    <w:p w:rsidR="009C796D" w:rsidRPr="00272724" w:rsidRDefault="009C796D" w:rsidP="009C796D">
      <w:pPr>
        <w:spacing w:line="23" w:lineRule="atLeast"/>
        <w:jc w:val="both"/>
        <w:rPr>
          <w:rFonts w:ascii="Garamond" w:hAnsi="Garamond"/>
          <w:bCs/>
          <w:sz w:val="18"/>
          <w:szCs w:val="18"/>
        </w:rPr>
      </w:pPr>
      <w:r w:rsidRPr="00272724">
        <w:rPr>
          <w:rFonts w:ascii="Garamond" w:hAnsi="Garamond"/>
          <w:bCs/>
          <w:sz w:val="18"/>
          <w:szCs w:val="18"/>
        </w:rPr>
        <w:t xml:space="preserve"> Note: P/E Ratios as on the last trading day</w:t>
      </w:r>
      <w:r>
        <w:rPr>
          <w:rFonts w:ascii="Garamond" w:hAnsi="Garamond"/>
          <w:bCs/>
          <w:sz w:val="18"/>
          <w:szCs w:val="18"/>
        </w:rPr>
        <w:t xml:space="preserve"> of month</w:t>
      </w:r>
      <w:r w:rsidRPr="00272724">
        <w:rPr>
          <w:rFonts w:ascii="Garamond" w:hAnsi="Garamond"/>
          <w:bCs/>
          <w:sz w:val="18"/>
          <w:szCs w:val="18"/>
        </w:rPr>
        <w:t>.</w:t>
      </w:r>
      <w:r>
        <w:rPr>
          <w:rFonts w:ascii="Garamond" w:hAnsi="Garamond"/>
          <w:bCs/>
          <w:sz w:val="18"/>
          <w:szCs w:val="18"/>
        </w:rPr>
        <w:t xml:space="preserve"> Trailing PE ratio has been used from Bloomberg for all Indices apart from Sensex, Nifty 50, </w:t>
      </w:r>
      <w:r w:rsidRPr="00A1772C">
        <w:rPr>
          <w:rFonts w:ascii="Garamond" w:hAnsi="Garamond"/>
          <w:bCs/>
          <w:sz w:val="18"/>
          <w:szCs w:val="18"/>
        </w:rPr>
        <w:t>Kospi,</w:t>
      </w:r>
      <w:r>
        <w:rPr>
          <w:rFonts w:ascii="Garamond" w:hAnsi="Garamond"/>
          <w:bCs/>
          <w:sz w:val="18"/>
          <w:szCs w:val="18"/>
        </w:rPr>
        <w:t xml:space="preserve"> Nikkei and Taiwan Taiex. Forward PE from Bloomberg was used for </w:t>
      </w:r>
      <w:r w:rsidRPr="00A1772C">
        <w:rPr>
          <w:rFonts w:ascii="Garamond" w:hAnsi="Garamond"/>
          <w:bCs/>
          <w:sz w:val="18"/>
          <w:szCs w:val="18"/>
        </w:rPr>
        <w:t>Kospi,</w:t>
      </w:r>
      <w:r>
        <w:rPr>
          <w:rFonts w:ascii="Garamond" w:hAnsi="Garamond"/>
          <w:bCs/>
          <w:sz w:val="18"/>
          <w:szCs w:val="18"/>
        </w:rPr>
        <w:t xml:space="preserve"> Nikkei and Taiwan Taiex. Data for Sensex and Nifty was taken from respective exchange website. Data is as on 11 December 2020</w:t>
      </w:r>
    </w:p>
    <w:p w:rsidR="009C796D" w:rsidRPr="00272724" w:rsidRDefault="009C796D" w:rsidP="009C796D">
      <w:pPr>
        <w:spacing w:line="23" w:lineRule="atLeast"/>
        <w:jc w:val="both"/>
        <w:rPr>
          <w:rFonts w:ascii="Garamond" w:hAnsi="Garamond"/>
          <w:bCs/>
          <w:sz w:val="18"/>
          <w:szCs w:val="18"/>
        </w:rPr>
      </w:pPr>
      <w:r w:rsidRPr="00272724">
        <w:rPr>
          <w:rFonts w:ascii="Garamond" w:hAnsi="Garamond"/>
          <w:bCs/>
          <w:sz w:val="18"/>
          <w:szCs w:val="18"/>
        </w:rPr>
        <w:t xml:space="preserve">Source: Bloomberg, BSE and National Stock Exchange </w:t>
      </w:r>
    </w:p>
    <w:p w:rsidR="009C796D" w:rsidRPr="00272724" w:rsidRDefault="009C796D" w:rsidP="009C796D">
      <w:pPr>
        <w:spacing w:line="23" w:lineRule="atLeast"/>
        <w:jc w:val="both"/>
        <w:rPr>
          <w:rFonts w:ascii="Garamond" w:hAnsi="Garamond"/>
          <w:b/>
          <w:bCs/>
          <w:szCs w:val="22"/>
        </w:rPr>
      </w:pPr>
    </w:p>
    <w:p w:rsidR="009C796D" w:rsidRPr="00272724" w:rsidRDefault="009C796D" w:rsidP="009C796D">
      <w:pPr>
        <w:spacing w:line="23" w:lineRule="atLeast"/>
        <w:jc w:val="both"/>
        <w:rPr>
          <w:rFonts w:ascii="Garamond" w:hAnsi="Garamond"/>
          <w:b/>
          <w:bCs/>
          <w:szCs w:val="22"/>
        </w:rPr>
      </w:pPr>
      <w:r w:rsidRPr="00272724">
        <w:rPr>
          <w:rFonts w:ascii="Garamond" w:hAnsi="Garamond"/>
          <w:b/>
          <w:bCs/>
          <w:szCs w:val="22"/>
        </w:rPr>
        <w:t>Table A2: Fund Mobilisation by Issuance of Equity and Bond in Major Exchanges (USD million)</w:t>
      </w:r>
    </w:p>
    <w:tbl>
      <w:tblPr>
        <w:tblW w:w="9862" w:type="dxa"/>
        <w:tblLook w:val="04A0" w:firstRow="1" w:lastRow="0" w:firstColumn="1" w:lastColumn="0" w:noHBand="0" w:noVBand="1"/>
      </w:tblPr>
      <w:tblGrid>
        <w:gridCol w:w="3456"/>
        <w:gridCol w:w="1067"/>
        <w:gridCol w:w="1067"/>
        <w:gridCol w:w="1069"/>
        <w:gridCol w:w="1067"/>
        <w:gridCol w:w="1067"/>
        <w:gridCol w:w="1069"/>
      </w:tblGrid>
      <w:tr w:rsidR="009C796D" w:rsidRPr="002518BB" w:rsidTr="00BB5AE6">
        <w:trPr>
          <w:trHeight w:val="265"/>
        </w:trPr>
        <w:tc>
          <w:tcPr>
            <w:tcW w:w="3456" w:type="dxa"/>
            <w:tcBorders>
              <w:top w:val="single" w:sz="8" w:space="0" w:color="auto"/>
              <w:left w:val="single" w:sz="8" w:space="0" w:color="auto"/>
              <w:bottom w:val="nil"/>
              <w:right w:val="single" w:sz="8" w:space="0" w:color="auto"/>
            </w:tcBorders>
            <w:shd w:val="clear" w:color="000000" w:fill="2F5496"/>
            <w:vAlign w:val="center"/>
            <w:hideMark/>
          </w:tcPr>
          <w:p w:rsidR="009C796D" w:rsidRPr="007F7CF7" w:rsidRDefault="009C796D" w:rsidP="00BB5AE6">
            <w:pPr>
              <w:jc w:val="center"/>
              <w:rPr>
                <w:rFonts w:ascii="Garamond" w:eastAsia="Times New Roman" w:hAnsi="Garamond" w:cs="Calibri"/>
                <w:b/>
                <w:bCs/>
                <w:color w:val="FFFFFF"/>
                <w:sz w:val="20"/>
                <w:szCs w:val="20"/>
                <w:lang w:val="en-IN" w:eastAsia="en-IN" w:bidi="hi-IN"/>
              </w:rPr>
            </w:pPr>
            <w:r w:rsidRPr="007F7CF7">
              <w:rPr>
                <w:rFonts w:ascii="Garamond" w:eastAsia="Times New Roman" w:hAnsi="Garamond" w:cs="Calibri"/>
                <w:b/>
                <w:bCs/>
                <w:color w:val="FFFFFF"/>
                <w:sz w:val="20"/>
                <w:szCs w:val="20"/>
                <w:lang w:val="en-IN" w:eastAsia="en-IN" w:bidi="hi-IN"/>
              </w:rPr>
              <w:t>Month</w:t>
            </w:r>
          </w:p>
        </w:tc>
        <w:tc>
          <w:tcPr>
            <w:tcW w:w="3203" w:type="dxa"/>
            <w:gridSpan w:val="3"/>
            <w:tcBorders>
              <w:top w:val="single" w:sz="8" w:space="0" w:color="auto"/>
              <w:left w:val="nil"/>
              <w:bottom w:val="nil"/>
              <w:right w:val="single" w:sz="8" w:space="0" w:color="000000"/>
            </w:tcBorders>
            <w:shd w:val="clear" w:color="000000" w:fill="2F5496"/>
            <w:vAlign w:val="center"/>
            <w:hideMark/>
          </w:tcPr>
          <w:p w:rsidR="009C796D" w:rsidRPr="007F7CF7" w:rsidRDefault="009C796D" w:rsidP="00BB5AE6">
            <w:pPr>
              <w:jc w:val="center"/>
              <w:rPr>
                <w:rFonts w:ascii="Garamond" w:eastAsia="Times New Roman" w:hAnsi="Garamond" w:cs="Calibri"/>
                <w:b/>
                <w:bCs/>
                <w:color w:val="FFFFFF"/>
                <w:sz w:val="20"/>
                <w:szCs w:val="20"/>
                <w:lang w:val="en-IN" w:eastAsia="en-IN" w:bidi="hi-IN"/>
              </w:rPr>
            </w:pPr>
            <w:r w:rsidRPr="007F7CF7">
              <w:rPr>
                <w:rFonts w:ascii="Garamond" w:eastAsia="Times New Roman" w:hAnsi="Garamond" w:cs="Calibri"/>
                <w:b/>
                <w:bCs/>
                <w:color w:val="FFFFFF"/>
                <w:sz w:val="20"/>
                <w:szCs w:val="20"/>
                <w:lang w:val="en-IN" w:eastAsia="en-IN" w:bidi="hi-IN"/>
              </w:rPr>
              <w:t>Sep-20</w:t>
            </w:r>
          </w:p>
        </w:tc>
        <w:tc>
          <w:tcPr>
            <w:tcW w:w="3203" w:type="dxa"/>
            <w:gridSpan w:val="3"/>
            <w:tcBorders>
              <w:top w:val="single" w:sz="8" w:space="0" w:color="auto"/>
              <w:left w:val="nil"/>
              <w:bottom w:val="nil"/>
              <w:right w:val="single" w:sz="8" w:space="0" w:color="000000"/>
            </w:tcBorders>
            <w:shd w:val="clear" w:color="000000" w:fill="2F5496"/>
            <w:vAlign w:val="center"/>
            <w:hideMark/>
          </w:tcPr>
          <w:p w:rsidR="009C796D" w:rsidRPr="007F7CF7" w:rsidRDefault="009C796D" w:rsidP="00BB5AE6">
            <w:pPr>
              <w:jc w:val="center"/>
              <w:rPr>
                <w:rFonts w:ascii="Garamond" w:eastAsia="Times New Roman" w:hAnsi="Garamond" w:cs="Calibri"/>
                <w:b/>
                <w:bCs/>
                <w:color w:val="FFFFFF"/>
                <w:sz w:val="20"/>
                <w:szCs w:val="20"/>
                <w:lang w:val="en-IN" w:eastAsia="en-IN" w:bidi="hi-IN"/>
              </w:rPr>
            </w:pPr>
            <w:r w:rsidRPr="007F7CF7">
              <w:rPr>
                <w:rFonts w:ascii="Garamond" w:eastAsia="Times New Roman" w:hAnsi="Garamond" w:cs="Calibri"/>
                <w:b/>
                <w:bCs/>
                <w:color w:val="FFFFFF"/>
                <w:sz w:val="20"/>
                <w:szCs w:val="20"/>
                <w:lang w:val="en-IN" w:eastAsia="en-IN" w:bidi="hi-IN"/>
              </w:rPr>
              <w:t>Oct-20</w:t>
            </w:r>
          </w:p>
        </w:tc>
      </w:tr>
      <w:tr w:rsidR="009C796D" w:rsidRPr="002518BB" w:rsidTr="00BB5AE6">
        <w:trPr>
          <w:trHeight w:val="252"/>
        </w:trPr>
        <w:tc>
          <w:tcPr>
            <w:tcW w:w="3456" w:type="dxa"/>
            <w:tcBorders>
              <w:top w:val="single" w:sz="4" w:space="0" w:color="auto"/>
              <w:left w:val="single" w:sz="4" w:space="0" w:color="auto"/>
              <w:bottom w:val="single" w:sz="4" w:space="0" w:color="auto"/>
              <w:right w:val="single" w:sz="4" w:space="0" w:color="auto"/>
            </w:tcBorders>
            <w:shd w:val="clear" w:color="000000" w:fill="2F5496"/>
            <w:vAlign w:val="center"/>
            <w:hideMark/>
          </w:tcPr>
          <w:p w:rsidR="009C796D" w:rsidRPr="007F7CF7" w:rsidRDefault="009C796D" w:rsidP="00BB5AE6">
            <w:pPr>
              <w:jc w:val="center"/>
              <w:rPr>
                <w:rFonts w:ascii="Garamond" w:eastAsia="Times New Roman" w:hAnsi="Garamond" w:cs="Calibri"/>
                <w:b/>
                <w:bCs/>
                <w:color w:val="FFFFFF"/>
                <w:sz w:val="20"/>
                <w:szCs w:val="20"/>
                <w:lang w:val="en-IN" w:eastAsia="en-IN" w:bidi="hi-IN"/>
              </w:rPr>
            </w:pPr>
            <w:r w:rsidRPr="007F7CF7">
              <w:rPr>
                <w:rFonts w:ascii="Garamond" w:eastAsia="Times New Roman" w:hAnsi="Garamond" w:cs="Calibri"/>
                <w:b/>
                <w:bCs/>
                <w:color w:val="FFFFFF"/>
                <w:sz w:val="20"/>
                <w:szCs w:val="20"/>
                <w:lang w:val="en-IN" w:eastAsia="en-IN" w:bidi="hi-IN"/>
              </w:rPr>
              <w:t>Exchange Name</w:t>
            </w:r>
          </w:p>
        </w:tc>
        <w:tc>
          <w:tcPr>
            <w:tcW w:w="1067" w:type="dxa"/>
            <w:tcBorders>
              <w:top w:val="single" w:sz="4" w:space="0" w:color="auto"/>
              <w:left w:val="nil"/>
              <w:bottom w:val="single" w:sz="4" w:space="0" w:color="auto"/>
              <w:right w:val="single" w:sz="4" w:space="0" w:color="auto"/>
            </w:tcBorders>
            <w:shd w:val="clear" w:color="000000" w:fill="2F5496"/>
            <w:vAlign w:val="center"/>
            <w:hideMark/>
          </w:tcPr>
          <w:p w:rsidR="009C796D" w:rsidRPr="007F7CF7" w:rsidRDefault="009C796D" w:rsidP="00BB5AE6">
            <w:pPr>
              <w:jc w:val="center"/>
              <w:rPr>
                <w:rFonts w:ascii="Garamond" w:eastAsia="Times New Roman" w:hAnsi="Garamond" w:cs="Calibri"/>
                <w:b/>
                <w:bCs/>
                <w:color w:val="FFFFFF"/>
                <w:sz w:val="20"/>
                <w:szCs w:val="20"/>
                <w:lang w:val="en-IN" w:eastAsia="en-IN" w:bidi="hi-IN"/>
              </w:rPr>
            </w:pPr>
            <w:r w:rsidRPr="007F7CF7">
              <w:rPr>
                <w:rFonts w:ascii="Garamond" w:eastAsia="Times New Roman" w:hAnsi="Garamond" w:cs="Calibri"/>
                <w:b/>
                <w:bCs/>
                <w:color w:val="FFFFFF"/>
                <w:sz w:val="20"/>
                <w:szCs w:val="20"/>
                <w:lang w:val="en-IN" w:eastAsia="en-IN" w:bidi="hi-IN"/>
              </w:rPr>
              <w:t>Bond</w:t>
            </w:r>
          </w:p>
        </w:tc>
        <w:tc>
          <w:tcPr>
            <w:tcW w:w="1067" w:type="dxa"/>
            <w:tcBorders>
              <w:top w:val="single" w:sz="4" w:space="0" w:color="auto"/>
              <w:left w:val="nil"/>
              <w:bottom w:val="single" w:sz="4" w:space="0" w:color="auto"/>
              <w:right w:val="single" w:sz="4" w:space="0" w:color="auto"/>
            </w:tcBorders>
            <w:shd w:val="clear" w:color="000000" w:fill="2F5496"/>
            <w:vAlign w:val="center"/>
            <w:hideMark/>
          </w:tcPr>
          <w:p w:rsidR="009C796D" w:rsidRPr="007F7CF7" w:rsidRDefault="009C796D" w:rsidP="00BB5AE6">
            <w:pPr>
              <w:jc w:val="center"/>
              <w:rPr>
                <w:rFonts w:ascii="Garamond" w:eastAsia="Times New Roman" w:hAnsi="Garamond" w:cs="Calibri"/>
                <w:b/>
                <w:bCs/>
                <w:color w:val="FFFFFF"/>
                <w:sz w:val="20"/>
                <w:szCs w:val="20"/>
                <w:lang w:val="en-IN" w:eastAsia="en-IN" w:bidi="hi-IN"/>
              </w:rPr>
            </w:pPr>
            <w:r w:rsidRPr="007F7CF7">
              <w:rPr>
                <w:rFonts w:ascii="Garamond" w:eastAsia="Times New Roman" w:hAnsi="Garamond" w:cs="Calibri"/>
                <w:b/>
                <w:bCs/>
                <w:color w:val="FFFFFF"/>
                <w:sz w:val="20"/>
                <w:szCs w:val="20"/>
                <w:lang w:val="en-IN" w:eastAsia="en-IN" w:bidi="hi-IN"/>
              </w:rPr>
              <w:t>Equity</w:t>
            </w:r>
          </w:p>
        </w:tc>
        <w:tc>
          <w:tcPr>
            <w:tcW w:w="1067" w:type="dxa"/>
            <w:tcBorders>
              <w:top w:val="single" w:sz="4" w:space="0" w:color="auto"/>
              <w:left w:val="nil"/>
              <w:bottom w:val="single" w:sz="4" w:space="0" w:color="auto"/>
              <w:right w:val="single" w:sz="4" w:space="0" w:color="auto"/>
            </w:tcBorders>
            <w:shd w:val="clear" w:color="000000" w:fill="2F5496"/>
            <w:vAlign w:val="center"/>
            <w:hideMark/>
          </w:tcPr>
          <w:p w:rsidR="009C796D" w:rsidRPr="007F7CF7" w:rsidRDefault="009C796D" w:rsidP="00BB5AE6">
            <w:pPr>
              <w:jc w:val="center"/>
              <w:rPr>
                <w:rFonts w:ascii="Garamond" w:eastAsia="Times New Roman" w:hAnsi="Garamond" w:cs="Calibri"/>
                <w:b/>
                <w:bCs/>
                <w:color w:val="FFFFFF"/>
                <w:sz w:val="20"/>
                <w:szCs w:val="20"/>
                <w:lang w:val="en-IN" w:eastAsia="en-IN" w:bidi="hi-IN"/>
              </w:rPr>
            </w:pPr>
            <w:r w:rsidRPr="007F7CF7">
              <w:rPr>
                <w:rFonts w:ascii="Garamond" w:eastAsia="Times New Roman" w:hAnsi="Garamond" w:cs="Calibri"/>
                <w:b/>
                <w:bCs/>
                <w:color w:val="FFFFFF"/>
                <w:sz w:val="20"/>
                <w:szCs w:val="20"/>
                <w:lang w:val="en-IN" w:eastAsia="en-IN" w:bidi="hi-IN"/>
              </w:rPr>
              <w:t>Total</w:t>
            </w:r>
          </w:p>
        </w:tc>
        <w:tc>
          <w:tcPr>
            <w:tcW w:w="1067" w:type="dxa"/>
            <w:tcBorders>
              <w:top w:val="single" w:sz="4" w:space="0" w:color="auto"/>
              <w:left w:val="nil"/>
              <w:bottom w:val="single" w:sz="4" w:space="0" w:color="auto"/>
              <w:right w:val="single" w:sz="4" w:space="0" w:color="auto"/>
            </w:tcBorders>
            <w:shd w:val="clear" w:color="000000" w:fill="2F5496"/>
            <w:vAlign w:val="center"/>
            <w:hideMark/>
          </w:tcPr>
          <w:p w:rsidR="009C796D" w:rsidRPr="007F7CF7" w:rsidRDefault="009C796D" w:rsidP="00BB5AE6">
            <w:pPr>
              <w:jc w:val="center"/>
              <w:rPr>
                <w:rFonts w:ascii="Garamond" w:eastAsia="Times New Roman" w:hAnsi="Garamond" w:cs="Calibri"/>
                <w:b/>
                <w:bCs/>
                <w:color w:val="FFFFFF"/>
                <w:sz w:val="20"/>
                <w:szCs w:val="20"/>
                <w:lang w:val="en-IN" w:eastAsia="en-IN" w:bidi="hi-IN"/>
              </w:rPr>
            </w:pPr>
            <w:r w:rsidRPr="007F7CF7">
              <w:rPr>
                <w:rFonts w:ascii="Garamond" w:eastAsia="Times New Roman" w:hAnsi="Garamond" w:cs="Calibri"/>
                <w:b/>
                <w:bCs/>
                <w:color w:val="FFFFFF"/>
                <w:sz w:val="20"/>
                <w:szCs w:val="20"/>
                <w:lang w:val="en-IN" w:eastAsia="en-IN" w:bidi="hi-IN"/>
              </w:rPr>
              <w:t>Bond</w:t>
            </w:r>
          </w:p>
        </w:tc>
        <w:tc>
          <w:tcPr>
            <w:tcW w:w="1067" w:type="dxa"/>
            <w:tcBorders>
              <w:top w:val="single" w:sz="4" w:space="0" w:color="auto"/>
              <w:left w:val="nil"/>
              <w:bottom w:val="single" w:sz="4" w:space="0" w:color="auto"/>
              <w:right w:val="single" w:sz="4" w:space="0" w:color="auto"/>
            </w:tcBorders>
            <w:shd w:val="clear" w:color="000000" w:fill="2F5496"/>
            <w:vAlign w:val="center"/>
            <w:hideMark/>
          </w:tcPr>
          <w:p w:rsidR="009C796D" w:rsidRPr="007F7CF7" w:rsidRDefault="009C796D" w:rsidP="00BB5AE6">
            <w:pPr>
              <w:jc w:val="center"/>
              <w:rPr>
                <w:rFonts w:ascii="Garamond" w:eastAsia="Times New Roman" w:hAnsi="Garamond" w:cs="Calibri"/>
                <w:b/>
                <w:bCs/>
                <w:color w:val="FFFFFF"/>
                <w:sz w:val="20"/>
                <w:szCs w:val="20"/>
                <w:lang w:val="en-IN" w:eastAsia="en-IN" w:bidi="hi-IN"/>
              </w:rPr>
            </w:pPr>
            <w:r w:rsidRPr="007F7CF7">
              <w:rPr>
                <w:rFonts w:ascii="Garamond" w:eastAsia="Times New Roman" w:hAnsi="Garamond" w:cs="Calibri"/>
                <w:b/>
                <w:bCs/>
                <w:color w:val="FFFFFF"/>
                <w:sz w:val="20"/>
                <w:szCs w:val="20"/>
                <w:lang w:val="en-IN" w:eastAsia="en-IN" w:bidi="hi-IN"/>
              </w:rPr>
              <w:t>Equity</w:t>
            </w:r>
          </w:p>
        </w:tc>
        <w:tc>
          <w:tcPr>
            <w:tcW w:w="1067" w:type="dxa"/>
            <w:tcBorders>
              <w:top w:val="single" w:sz="4" w:space="0" w:color="auto"/>
              <w:left w:val="nil"/>
              <w:bottom w:val="single" w:sz="4" w:space="0" w:color="auto"/>
              <w:right w:val="single" w:sz="4" w:space="0" w:color="auto"/>
            </w:tcBorders>
            <w:shd w:val="clear" w:color="000000" w:fill="2F5496"/>
            <w:vAlign w:val="center"/>
            <w:hideMark/>
          </w:tcPr>
          <w:p w:rsidR="009C796D" w:rsidRPr="007F7CF7" w:rsidRDefault="009C796D" w:rsidP="00BB5AE6">
            <w:pPr>
              <w:jc w:val="center"/>
              <w:rPr>
                <w:rFonts w:ascii="Garamond" w:eastAsia="Times New Roman" w:hAnsi="Garamond" w:cs="Calibri"/>
                <w:b/>
                <w:bCs/>
                <w:color w:val="FFFFFF"/>
                <w:sz w:val="20"/>
                <w:szCs w:val="20"/>
                <w:lang w:val="en-IN" w:eastAsia="en-IN" w:bidi="hi-IN"/>
              </w:rPr>
            </w:pPr>
            <w:r w:rsidRPr="007F7CF7">
              <w:rPr>
                <w:rFonts w:ascii="Garamond" w:eastAsia="Times New Roman" w:hAnsi="Garamond" w:cs="Calibri"/>
                <w:b/>
                <w:bCs/>
                <w:color w:val="FFFFFF"/>
                <w:sz w:val="20"/>
                <w:szCs w:val="20"/>
                <w:lang w:val="en-IN" w:eastAsia="en-IN" w:bidi="hi-IN"/>
              </w:rPr>
              <w:t>Total</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B3 - Brasil Bolsa Balcão</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Nasdaq - US</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NYSE</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12,938</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12,938</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7,017</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7,017</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ASX Australian Securities Exchange</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3,906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3,906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2,271</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2,271</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Hong Kong Exchanges and Clearing</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17,027</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13,596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30,622</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24,980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6,950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31,930</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Japan Exchange Group</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14,602</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13,971</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28,573</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11,858</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816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12,674</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Korea Exchange</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51,446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51,446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54,723</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54,723</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National Stock Exchange of India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55,739</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1,420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57,159</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40,589</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668</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41,257</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Shanghai Stock Exchange</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15,364</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15,364</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6,879</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6,879</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Shenzhen Stock Exchange</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26,811</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6,995</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33,806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22,735</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10,848</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33,583</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Singapore Exchange</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28,323</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1,538</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29,861</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25,742</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661</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26,403</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BME Spanish Exchanges</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24,721</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24,734</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25,758</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3,926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29,684</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Deutsche Boerse AG</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61,089</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376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61,465</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95</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95</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Euronext</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3,692</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3,692</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10,350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10,350</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Johannesburg Stock Exchange</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4,166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1,666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5,833</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3,776</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3,793</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LSE Group</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77,110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3,894</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81,004</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92,457</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5,587</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98,044</w:t>
            </w:r>
          </w:p>
        </w:tc>
      </w:tr>
      <w:tr w:rsidR="009C796D" w:rsidRPr="002518BB" w:rsidTr="00BB5AE6">
        <w:trPr>
          <w:trHeight w:val="265"/>
        </w:trPr>
        <w:tc>
          <w:tcPr>
            <w:tcW w:w="3456" w:type="dxa"/>
            <w:tcBorders>
              <w:top w:val="nil"/>
              <w:left w:val="single" w:sz="4" w:space="0" w:color="auto"/>
              <w:bottom w:val="single" w:sz="4" w:space="0" w:color="auto"/>
              <w:right w:val="single" w:sz="4" w:space="0" w:color="auto"/>
            </w:tcBorders>
            <w:shd w:val="clear" w:color="auto" w:fill="auto"/>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Moscow Exchange</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22,050</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22,069</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28,757</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w:t>
            </w:r>
          </w:p>
        </w:tc>
        <w:tc>
          <w:tcPr>
            <w:tcW w:w="1067"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28,761</w:t>
            </w:r>
          </w:p>
        </w:tc>
      </w:tr>
      <w:tr w:rsidR="009C796D" w:rsidRPr="002518BB" w:rsidTr="00BB5AE6">
        <w:trPr>
          <w:trHeight w:val="252"/>
        </w:trPr>
        <w:tc>
          <w:tcPr>
            <w:tcW w:w="3456" w:type="dxa"/>
            <w:tcBorders>
              <w:top w:val="nil"/>
              <w:left w:val="single" w:sz="4" w:space="0" w:color="auto"/>
              <w:bottom w:val="single" w:sz="4" w:space="0" w:color="auto"/>
              <w:right w:val="single" w:sz="4" w:space="0" w:color="auto"/>
            </w:tcBorders>
            <w:shd w:val="clear" w:color="000000" w:fill="BDD6EE"/>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Grand Total</w:t>
            </w:r>
          </w:p>
        </w:tc>
        <w:tc>
          <w:tcPr>
            <w:tcW w:w="1067" w:type="dxa"/>
            <w:tcBorders>
              <w:top w:val="nil"/>
              <w:left w:val="nil"/>
              <w:bottom w:val="single" w:sz="4" w:space="0" w:color="auto"/>
              <w:right w:val="single" w:sz="4" w:space="0" w:color="auto"/>
            </w:tcBorders>
            <w:shd w:val="clear" w:color="000000" w:fill="BDD6EE"/>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383,084</w:t>
            </w:r>
          </w:p>
        </w:tc>
        <w:tc>
          <w:tcPr>
            <w:tcW w:w="1067" w:type="dxa"/>
            <w:tcBorders>
              <w:top w:val="nil"/>
              <w:left w:val="nil"/>
              <w:bottom w:val="single" w:sz="4" w:space="0" w:color="auto"/>
              <w:right w:val="single" w:sz="4" w:space="0" w:color="auto"/>
            </w:tcBorders>
            <w:shd w:val="clear" w:color="000000" w:fill="BDD6EE"/>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79,389</w:t>
            </w:r>
          </w:p>
        </w:tc>
        <w:tc>
          <w:tcPr>
            <w:tcW w:w="1067" w:type="dxa"/>
            <w:tcBorders>
              <w:top w:val="nil"/>
              <w:left w:val="nil"/>
              <w:bottom w:val="single" w:sz="4" w:space="0" w:color="auto"/>
              <w:right w:val="single" w:sz="4" w:space="0" w:color="auto"/>
            </w:tcBorders>
            <w:shd w:val="clear" w:color="000000" w:fill="BDD6EE"/>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462,473</w:t>
            </w:r>
          </w:p>
        </w:tc>
        <w:tc>
          <w:tcPr>
            <w:tcW w:w="1067" w:type="dxa"/>
            <w:tcBorders>
              <w:top w:val="nil"/>
              <w:left w:val="nil"/>
              <w:bottom w:val="single" w:sz="4" w:space="0" w:color="auto"/>
              <w:right w:val="single" w:sz="4" w:space="0" w:color="auto"/>
            </w:tcBorders>
            <w:shd w:val="clear" w:color="000000" w:fill="BDD6EE"/>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331,375</w:t>
            </w:r>
          </w:p>
        </w:tc>
        <w:tc>
          <w:tcPr>
            <w:tcW w:w="1067" w:type="dxa"/>
            <w:tcBorders>
              <w:top w:val="nil"/>
              <w:left w:val="nil"/>
              <w:bottom w:val="single" w:sz="4" w:space="0" w:color="auto"/>
              <w:right w:val="single" w:sz="4" w:space="0" w:color="auto"/>
            </w:tcBorders>
            <w:shd w:val="clear" w:color="000000" w:fill="BDD6EE"/>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56,089</w:t>
            </w:r>
          </w:p>
        </w:tc>
        <w:tc>
          <w:tcPr>
            <w:tcW w:w="1067" w:type="dxa"/>
            <w:tcBorders>
              <w:top w:val="nil"/>
              <w:left w:val="nil"/>
              <w:bottom w:val="single" w:sz="4" w:space="0" w:color="auto"/>
              <w:right w:val="single" w:sz="4" w:space="0" w:color="auto"/>
            </w:tcBorders>
            <w:shd w:val="clear" w:color="000000" w:fill="BDD6EE"/>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387,464</w:t>
            </w:r>
          </w:p>
        </w:tc>
      </w:tr>
    </w:tbl>
    <w:p w:rsidR="009C796D" w:rsidRPr="00272724" w:rsidRDefault="009C796D" w:rsidP="009C796D">
      <w:pPr>
        <w:jc w:val="both"/>
        <w:rPr>
          <w:rFonts w:ascii="Garamond" w:hAnsi="Garamond"/>
          <w:bCs/>
          <w:sz w:val="18"/>
          <w:szCs w:val="18"/>
        </w:rPr>
      </w:pPr>
      <w:r w:rsidRPr="00272724">
        <w:rPr>
          <w:rFonts w:ascii="Garamond" w:hAnsi="Garamond"/>
          <w:bCs/>
          <w:sz w:val="18"/>
          <w:szCs w:val="18"/>
        </w:rPr>
        <w:t>Note: For Funds mobilised through issuance of bonds, data may differ due to different reporting rules &amp; calculation methods. Fund mobilisation data for equities are (i) excluding investment funds and (ii) including Alternative and SME Markets except the following exceptions:</w:t>
      </w:r>
    </w:p>
    <w:p w:rsidR="009C796D" w:rsidRPr="00272724" w:rsidRDefault="009C796D" w:rsidP="009C796D">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Australian Securities Exchange: including investment funds</w:t>
      </w:r>
    </w:p>
    <w:p w:rsidR="009C796D" w:rsidRPr="00272724" w:rsidRDefault="009C796D" w:rsidP="009C796D">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 xml:space="preserve">BME: Including investment companies listed (open-end investment companies). </w:t>
      </w:r>
    </w:p>
    <w:p w:rsidR="009C796D" w:rsidRPr="00272724" w:rsidRDefault="009C796D" w:rsidP="009C796D">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Euronext: includes Belgium, England, France, Netherlands and Portugal</w:t>
      </w:r>
    </w:p>
    <w:p w:rsidR="009C796D" w:rsidRPr="00272724" w:rsidRDefault="009C796D" w:rsidP="009C796D">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Korea Exchange: including Kosdaq market data</w:t>
      </w:r>
    </w:p>
    <w:p w:rsidR="009C796D" w:rsidRPr="00272724" w:rsidRDefault="009C796D" w:rsidP="009C796D">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LSE Group: includes London Stock Exchange and BorsaItaliana</w:t>
      </w:r>
    </w:p>
    <w:p w:rsidR="009C796D" w:rsidRPr="00272724" w:rsidRDefault="009C796D" w:rsidP="009C796D">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Nasdaq Nordic Exchanges include Copenhagen, Helsinki, Iceland, Stockholm, Tallinn, Riga and Vilnius Stock Exchanges</w:t>
      </w:r>
    </w:p>
    <w:p w:rsidR="009C796D" w:rsidRPr="00272724" w:rsidRDefault="009C796D" w:rsidP="009C796D">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NSE India: including “Emerge” market data</w:t>
      </w:r>
    </w:p>
    <w:p w:rsidR="009C796D" w:rsidRPr="00272724" w:rsidRDefault="009C796D" w:rsidP="009C796D">
      <w:pPr>
        <w:outlineLvl w:val="0"/>
        <w:rPr>
          <w:rFonts w:ascii="Garamond" w:hAnsi="Garamond"/>
          <w:bCs/>
          <w:sz w:val="18"/>
          <w:szCs w:val="18"/>
        </w:rPr>
      </w:pPr>
      <w:r w:rsidRPr="00272724">
        <w:rPr>
          <w:rFonts w:ascii="Garamond" w:hAnsi="Garamond"/>
          <w:bCs/>
          <w:sz w:val="18"/>
          <w:szCs w:val="18"/>
        </w:rPr>
        <w:t>NA = Not Available</w:t>
      </w:r>
    </w:p>
    <w:p w:rsidR="009C796D" w:rsidRPr="00272724" w:rsidRDefault="009C796D" w:rsidP="009C796D">
      <w:pPr>
        <w:spacing w:line="23" w:lineRule="atLeast"/>
        <w:rPr>
          <w:rFonts w:ascii="Garamond" w:hAnsi="Garamond"/>
          <w:bCs/>
          <w:sz w:val="18"/>
          <w:szCs w:val="18"/>
        </w:rPr>
      </w:pPr>
      <w:r w:rsidRPr="00272724">
        <w:rPr>
          <w:rFonts w:ascii="Garamond" w:hAnsi="Garamond"/>
          <w:bCs/>
          <w:sz w:val="18"/>
          <w:szCs w:val="18"/>
        </w:rPr>
        <w:t>Source: World Federation of Exchanges</w:t>
      </w:r>
    </w:p>
    <w:p w:rsidR="009C796D" w:rsidRPr="00272724" w:rsidRDefault="009C796D" w:rsidP="009C796D">
      <w:pPr>
        <w:rPr>
          <w:rFonts w:ascii="Garamond" w:hAnsi="Garamond"/>
          <w:bCs/>
          <w:strike/>
          <w:sz w:val="22"/>
          <w:szCs w:val="22"/>
        </w:rPr>
      </w:pPr>
    </w:p>
    <w:p w:rsidR="009C796D" w:rsidRPr="00272724" w:rsidRDefault="009C796D" w:rsidP="009C796D">
      <w:pPr>
        <w:spacing w:line="23" w:lineRule="atLeast"/>
        <w:jc w:val="both"/>
        <w:outlineLvl w:val="0"/>
        <w:rPr>
          <w:rFonts w:ascii="Garamond" w:hAnsi="Garamond"/>
          <w:b/>
          <w:bCs/>
          <w:szCs w:val="22"/>
        </w:rPr>
      </w:pPr>
      <w:r w:rsidRPr="00272724">
        <w:rPr>
          <w:rFonts w:ascii="Garamond" w:hAnsi="Garamond"/>
          <w:b/>
          <w:bCs/>
          <w:szCs w:val="22"/>
        </w:rPr>
        <w:t xml:space="preserve">Table A3: Domestic Market Capitalisation of Major Exchanges (USD </w:t>
      </w:r>
      <w:r>
        <w:rPr>
          <w:rFonts w:ascii="Garamond" w:hAnsi="Garamond"/>
          <w:b/>
          <w:bCs/>
          <w:szCs w:val="22"/>
        </w:rPr>
        <w:t>b</w:t>
      </w:r>
      <w:r w:rsidRPr="00272724">
        <w:rPr>
          <w:rFonts w:ascii="Garamond" w:hAnsi="Garamond"/>
          <w:b/>
          <w:bCs/>
          <w:szCs w:val="22"/>
        </w:rPr>
        <w:t>illion)</w:t>
      </w:r>
    </w:p>
    <w:p w:rsidR="009C796D" w:rsidRPr="00272724" w:rsidRDefault="009C796D" w:rsidP="009C796D">
      <w:pPr>
        <w:spacing w:line="23" w:lineRule="atLeast"/>
        <w:jc w:val="both"/>
        <w:outlineLvl w:val="0"/>
        <w:rPr>
          <w:rFonts w:ascii="Garamond" w:hAnsi="Garamond"/>
          <w:b/>
          <w:bCs/>
          <w:szCs w:val="22"/>
        </w:rPr>
      </w:pPr>
    </w:p>
    <w:tbl>
      <w:tblPr>
        <w:tblW w:w="7105" w:type="dxa"/>
        <w:tblLook w:val="04A0" w:firstRow="1" w:lastRow="0" w:firstColumn="1" w:lastColumn="0" w:noHBand="0" w:noVBand="1"/>
      </w:tblPr>
      <w:tblGrid>
        <w:gridCol w:w="3688"/>
        <w:gridCol w:w="1139"/>
        <w:gridCol w:w="1139"/>
        <w:gridCol w:w="1139"/>
      </w:tblGrid>
      <w:tr w:rsidR="009C796D" w:rsidRPr="002518BB" w:rsidTr="00BB5AE6">
        <w:trPr>
          <w:trHeight w:val="248"/>
        </w:trPr>
        <w:tc>
          <w:tcPr>
            <w:tcW w:w="368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Exchnage</w:t>
            </w:r>
          </w:p>
        </w:tc>
        <w:tc>
          <w:tcPr>
            <w:tcW w:w="1139" w:type="dxa"/>
            <w:tcBorders>
              <w:top w:val="single" w:sz="4" w:space="0" w:color="auto"/>
              <w:left w:val="nil"/>
              <w:bottom w:val="single" w:sz="4" w:space="0" w:color="auto"/>
              <w:right w:val="single" w:sz="4" w:space="0" w:color="auto"/>
            </w:tcBorders>
            <w:shd w:val="clear" w:color="000000" w:fill="B4C6E7"/>
            <w:noWrap/>
            <w:vAlign w:val="center"/>
            <w:hideMark/>
          </w:tcPr>
          <w:p w:rsidR="009C796D" w:rsidRPr="007F7CF7" w:rsidRDefault="009C796D" w:rsidP="00BB5AE6">
            <w:pPr>
              <w:jc w:val="center"/>
              <w:rPr>
                <w:rFonts w:ascii="Calibri" w:eastAsia="Times New Roman" w:hAnsi="Calibri" w:cs="Calibri"/>
                <w:b/>
                <w:bCs/>
                <w:color w:val="000000"/>
                <w:sz w:val="18"/>
                <w:szCs w:val="18"/>
                <w:lang w:val="en-IN" w:eastAsia="en-IN" w:bidi="hi-IN"/>
              </w:rPr>
            </w:pPr>
            <w:r w:rsidRPr="007F7CF7">
              <w:rPr>
                <w:rFonts w:ascii="Calibri" w:eastAsia="Times New Roman" w:hAnsi="Calibri" w:cs="Calibri"/>
                <w:b/>
                <w:bCs/>
                <w:color w:val="000000"/>
                <w:sz w:val="18"/>
                <w:szCs w:val="18"/>
                <w:lang w:val="en-IN" w:eastAsia="en-IN" w:bidi="hi-IN"/>
              </w:rPr>
              <w:t>Sep-20</w:t>
            </w:r>
          </w:p>
        </w:tc>
        <w:tc>
          <w:tcPr>
            <w:tcW w:w="1139" w:type="dxa"/>
            <w:tcBorders>
              <w:top w:val="single" w:sz="4" w:space="0" w:color="auto"/>
              <w:left w:val="nil"/>
              <w:bottom w:val="single" w:sz="4" w:space="0" w:color="auto"/>
              <w:right w:val="single" w:sz="4" w:space="0" w:color="auto"/>
            </w:tcBorders>
            <w:shd w:val="clear" w:color="000000" w:fill="B4C6E7"/>
            <w:noWrap/>
            <w:vAlign w:val="center"/>
            <w:hideMark/>
          </w:tcPr>
          <w:p w:rsidR="009C796D" w:rsidRPr="007F7CF7" w:rsidRDefault="009C796D" w:rsidP="00BB5AE6">
            <w:pPr>
              <w:jc w:val="center"/>
              <w:rPr>
                <w:rFonts w:ascii="Calibri" w:eastAsia="Times New Roman" w:hAnsi="Calibri" w:cs="Calibri"/>
                <w:b/>
                <w:bCs/>
                <w:color w:val="000000"/>
                <w:sz w:val="18"/>
                <w:szCs w:val="18"/>
                <w:lang w:val="en-IN" w:eastAsia="en-IN" w:bidi="hi-IN"/>
              </w:rPr>
            </w:pPr>
            <w:r w:rsidRPr="007F7CF7">
              <w:rPr>
                <w:rFonts w:ascii="Calibri" w:eastAsia="Times New Roman" w:hAnsi="Calibri" w:cs="Calibri"/>
                <w:b/>
                <w:bCs/>
                <w:color w:val="000000"/>
                <w:sz w:val="18"/>
                <w:szCs w:val="18"/>
                <w:lang w:val="en-IN" w:eastAsia="en-IN" w:bidi="hi-IN"/>
              </w:rPr>
              <w:t>Oct-20</w:t>
            </w:r>
          </w:p>
        </w:tc>
        <w:tc>
          <w:tcPr>
            <w:tcW w:w="1139" w:type="dxa"/>
            <w:tcBorders>
              <w:top w:val="single" w:sz="4" w:space="0" w:color="auto"/>
              <w:left w:val="nil"/>
              <w:bottom w:val="single" w:sz="4" w:space="0" w:color="auto"/>
              <w:right w:val="single" w:sz="4" w:space="0" w:color="auto"/>
            </w:tcBorders>
            <w:shd w:val="clear" w:color="000000" w:fill="B4C6E7"/>
            <w:noWrap/>
            <w:vAlign w:val="center"/>
            <w:hideMark/>
          </w:tcPr>
          <w:p w:rsidR="009C796D" w:rsidRPr="007F7CF7" w:rsidRDefault="009C796D" w:rsidP="00BB5AE6">
            <w:pPr>
              <w:rPr>
                <w:rFonts w:ascii="Calibri" w:eastAsia="Times New Roman" w:hAnsi="Calibri" w:cs="Calibri"/>
                <w:b/>
                <w:bCs/>
                <w:color w:val="000000"/>
                <w:sz w:val="18"/>
                <w:szCs w:val="18"/>
                <w:lang w:val="en-IN" w:eastAsia="en-IN" w:bidi="hi-IN"/>
              </w:rPr>
            </w:pPr>
            <w:r w:rsidRPr="007F7CF7">
              <w:rPr>
                <w:rFonts w:ascii="Calibri" w:eastAsia="Times New Roman" w:hAnsi="Calibri" w:cs="Calibri"/>
                <w:b/>
                <w:bCs/>
                <w:color w:val="000000"/>
                <w:sz w:val="18"/>
                <w:szCs w:val="18"/>
                <w:lang w:val="en-IN" w:eastAsia="en-IN" w:bidi="hi-IN"/>
              </w:rPr>
              <w:t>% Change MoM</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Nasdaq - US</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16,439</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16,095</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-2.1%</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NYSE</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22,799</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22,383</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-1.8%</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LSE Group</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3,302</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3,167</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-4.1%</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Deutsche Boerse AG</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2,105</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1,925</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-8.6%</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BME Spanish Exchanges</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620</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596</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-3.8%</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Japan Exchange Group</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6,075</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6,123</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0.8%</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Singapore Exchange</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584</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577</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-1.2%</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Hong Kong Exchanges and Clearing</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5,373</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5,586</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4.0%</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Korea Exchange</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1,641</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1,636</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-0.3%</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ASX Australian Securities Exchange</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1,392</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1,398</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0.4%</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B3 - Brasil Bolsa Balcão</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715</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702</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-1.9%</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Moscow Exchange</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583</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536</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-8.0%</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National Stock Exchange of India</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2,080</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2,090</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0.5%</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Shanghai Stock Exchange</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6,092</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6,228</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2.2%</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Shenzhen Stock Exchange</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4,535</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4,765</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5.1%</w:t>
            </w:r>
          </w:p>
        </w:tc>
      </w:tr>
      <w:tr w:rsidR="009C796D" w:rsidRPr="002518BB" w:rsidTr="00BB5AE6">
        <w:trPr>
          <w:trHeight w:val="248"/>
        </w:trPr>
        <w:tc>
          <w:tcPr>
            <w:tcW w:w="3688" w:type="dxa"/>
            <w:tcBorders>
              <w:top w:val="nil"/>
              <w:left w:val="single" w:sz="4" w:space="0" w:color="auto"/>
              <w:bottom w:val="single" w:sz="4" w:space="0" w:color="auto"/>
              <w:right w:val="single" w:sz="4" w:space="0" w:color="auto"/>
            </w:tcBorders>
            <w:shd w:val="clear" w:color="000000" w:fill="D9E1F2"/>
            <w:noWrap/>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Johannesburg Stock Exchange</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842</w:t>
            </w:r>
          </w:p>
        </w:tc>
        <w:tc>
          <w:tcPr>
            <w:tcW w:w="1139" w:type="dxa"/>
            <w:tcBorders>
              <w:top w:val="nil"/>
              <w:left w:val="nil"/>
              <w:bottom w:val="single" w:sz="4" w:space="0" w:color="auto"/>
              <w:right w:val="single" w:sz="4"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833</w:t>
            </w:r>
          </w:p>
        </w:tc>
        <w:tc>
          <w:tcPr>
            <w:tcW w:w="1139" w:type="dxa"/>
            <w:tcBorders>
              <w:top w:val="nil"/>
              <w:left w:val="nil"/>
              <w:bottom w:val="single" w:sz="4" w:space="0" w:color="auto"/>
              <w:right w:val="single" w:sz="4" w:space="0" w:color="auto"/>
            </w:tcBorders>
            <w:shd w:val="clear" w:color="auto" w:fill="auto"/>
            <w:noWrap/>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-1.0%</w:t>
            </w:r>
          </w:p>
        </w:tc>
      </w:tr>
    </w:tbl>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NA: Not Available</w:t>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 xml:space="preserve">Note: </w:t>
      </w:r>
    </w:p>
    <w:p w:rsidR="009C796D" w:rsidRPr="00272724" w:rsidRDefault="009C796D" w:rsidP="009C796D">
      <w:pPr>
        <w:numPr>
          <w:ilvl w:val="0"/>
          <w:numId w:val="26"/>
        </w:numPr>
        <w:spacing w:after="200" w:line="23" w:lineRule="atLeast"/>
        <w:contextualSpacing/>
        <w:jc w:val="both"/>
        <w:outlineLvl w:val="0"/>
        <w:rPr>
          <w:rFonts w:ascii="Garamond" w:hAnsi="Garamond"/>
          <w:bCs/>
          <w:sz w:val="18"/>
          <w:szCs w:val="18"/>
          <w:lang w:val="en-US"/>
        </w:rPr>
      </w:pPr>
      <w:r w:rsidRPr="00272724">
        <w:rPr>
          <w:rFonts w:ascii="Garamond" w:hAnsi="Garamond"/>
          <w:bCs/>
          <w:sz w:val="18"/>
          <w:szCs w:val="18"/>
          <w:lang w:val="en-US"/>
        </w:rPr>
        <w:t>The figures provided in some versions of SEBI Bulletin are sourced from Bloomberg which provides country wise market capitalization data (estimated internally by Bloomberg).</w:t>
      </w:r>
    </w:p>
    <w:p w:rsidR="009C796D" w:rsidRPr="00272724" w:rsidRDefault="009C796D" w:rsidP="009C796D">
      <w:pPr>
        <w:numPr>
          <w:ilvl w:val="0"/>
          <w:numId w:val="26"/>
        </w:numPr>
        <w:spacing w:after="200" w:line="23" w:lineRule="atLeast"/>
        <w:contextualSpacing/>
        <w:jc w:val="both"/>
        <w:outlineLvl w:val="0"/>
        <w:rPr>
          <w:rFonts w:ascii="Garamond" w:hAnsi="Garamond"/>
          <w:bCs/>
          <w:sz w:val="18"/>
          <w:szCs w:val="18"/>
          <w:lang w:val="en-US"/>
        </w:rPr>
      </w:pPr>
      <w:r w:rsidRPr="00272724">
        <w:rPr>
          <w:rFonts w:ascii="Garamond" w:hAnsi="Garamond"/>
          <w:bCs/>
          <w:sz w:val="18"/>
          <w:szCs w:val="18"/>
          <w:lang w:val="en-US"/>
        </w:rPr>
        <w:t>The figures provided World Federation of Exchanges are more detailed and are provided by respective member exchanges.</w:t>
      </w:r>
    </w:p>
    <w:p w:rsidR="009C796D" w:rsidRPr="00272724" w:rsidRDefault="009C796D" w:rsidP="009C796D">
      <w:pPr>
        <w:numPr>
          <w:ilvl w:val="0"/>
          <w:numId w:val="26"/>
        </w:numPr>
        <w:spacing w:after="200" w:line="23" w:lineRule="atLeast"/>
        <w:contextualSpacing/>
        <w:jc w:val="both"/>
        <w:outlineLvl w:val="0"/>
        <w:rPr>
          <w:rFonts w:ascii="Garamond" w:hAnsi="Garamond"/>
          <w:bCs/>
          <w:sz w:val="18"/>
          <w:szCs w:val="18"/>
          <w:lang w:val="en-US"/>
        </w:rPr>
      </w:pPr>
      <w:r w:rsidRPr="00272724">
        <w:rPr>
          <w:rFonts w:ascii="Garamond" w:hAnsi="Garamond"/>
          <w:bCs/>
          <w:sz w:val="18"/>
          <w:szCs w:val="18"/>
          <w:lang w:val="en-US"/>
        </w:rPr>
        <w:t>Data for this table needs to be read in Billion for Nov-2019, Jan-2020 to Oct-2020</w:t>
      </w:r>
    </w:p>
    <w:p w:rsidR="009C796D" w:rsidRPr="00272724" w:rsidRDefault="009C796D" w:rsidP="009C796D">
      <w:pPr>
        <w:numPr>
          <w:ilvl w:val="0"/>
          <w:numId w:val="26"/>
        </w:numPr>
        <w:spacing w:after="200" w:line="23" w:lineRule="atLeast"/>
        <w:contextualSpacing/>
        <w:jc w:val="both"/>
        <w:outlineLvl w:val="0"/>
        <w:rPr>
          <w:rFonts w:ascii="Garamond" w:hAnsi="Garamond"/>
          <w:bCs/>
          <w:sz w:val="18"/>
          <w:szCs w:val="18"/>
          <w:lang w:val="en-US"/>
        </w:rPr>
      </w:pPr>
      <w:r w:rsidRPr="00272724">
        <w:rPr>
          <w:rFonts w:ascii="Garamond" w:hAnsi="Garamond"/>
          <w:bCs/>
          <w:sz w:val="18"/>
          <w:szCs w:val="18"/>
          <w:lang w:val="en-US"/>
        </w:rPr>
        <w:t xml:space="preserve">As per the data available as on </w:t>
      </w:r>
      <w:r>
        <w:rPr>
          <w:rFonts w:ascii="Garamond" w:hAnsi="Garamond"/>
          <w:bCs/>
          <w:sz w:val="18"/>
          <w:szCs w:val="18"/>
          <w:lang w:val="en-US"/>
        </w:rPr>
        <w:t>11 December</w:t>
      </w:r>
      <w:r w:rsidRPr="00272724">
        <w:rPr>
          <w:rFonts w:ascii="Garamond" w:hAnsi="Garamond"/>
          <w:bCs/>
          <w:sz w:val="18"/>
          <w:szCs w:val="18"/>
          <w:lang w:val="en-US"/>
        </w:rPr>
        <w:t xml:space="preserve"> 2020.</w:t>
      </w:r>
    </w:p>
    <w:p w:rsidR="009C796D" w:rsidRPr="00272724" w:rsidRDefault="009C796D" w:rsidP="009C796D">
      <w:pPr>
        <w:spacing w:line="23" w:lineRule="atLeast"/>
        <w:jc w:val="both"/>
        <w:outlineLvl w:val="0"/>
        <w:rPr>
          <w:rFonts w:ascii="Garamond" w:hAnsi="Garamond"/>
          <w:bCs/>
          <w:color w:val="000000"/>
          <w:sz w:val="22"/>
          <w:szCs w:val="22"/>
        </w:rPr>
      </w:pPr>
      <w:r w:rsidRPr="00272724">
        <w:rPr>
          <w:rFonts w:ascii="Garamond" w:hAnsi="Garamond"/>
          <w:bCs/>
          <w:strike/>
          <w:sz w:val="22"/>
          <w:szCs w:val="22"/>
        </w:rPr>
        <w:br w:type="page"/>
      </w:r>
    </w:p>
    <w:p w:rsidR="009C796D" w:rsidRPr="00272724" w:rsidRDefault="009C796D" w:rsidP="009C796D">
      <w:pPr>
        <w:spacing w:line="23" w:lineRule="atLeast"/>
        <w:jc w:val="both"/>
        <w:outlineLvl w:val="0"/>
        <w:rPr>
          <w:rFonts w:ascii="Garamond" w:hAnsi="Garamond"/>
          <w:b/>
          <w:bCs/>
          <w:szCs w:val="22"/>
        </w:rPr>
      </w:pPr>
      <w:r w:rsidRPr="00272724">
        <w:rPr>
          <w:rFonts w:ascii="Garamond" w:hAnsi="Garamond"/>
          <w:b/>
          <w:bCs/>
          <w:szCs w:val="22"/>
        </w:rPr>
        <w:t>Table A4: Stock Futures and Stock Options Traded in Major Exchanges</w:t>
      </w:r>
    </w:p>
    <w:p w:rsidR="009C796D" w:rsidRPr="00272724" w:rsidRDefault="009C796D" w:rsidP="009C796D">
      <w:pPr>
        <w:spacing w:line="23" w:lineRule="atLeast"/>
        <w:ind w:right="674"/>
        <w:jc w:val="right"/>
        <w:outlineLvl w:val="0"/>
        <w:rPr>
          <w:rFonts w:ascii="Garamond" w:hAnsi="Garamond"/>
          <w:bCs/>
          <w:sz w:val="22"/>
          <w:szCs w:val="22"/>
        </w:rPr>
      </w:pPr>
      <w:r w:rsidRPr="00272724">
        <w:rPr>
          <w:rFonts w:ascii="Garamond" w:hAnsi="Garamond"/>
          <w:bCs/>
          <w:sz w:val="22"/>
          <w:szCs w:val="22"/>
        </w:rPr>
        <w:t>Notional Turnover in (USD million)</w:t>
      </w:r>
    </w:p>
    <w:tbl>
      <w:tblPr>
        <w:tblW w:w="10253" w:type="dxa"/>
        <w:tblLook w:val="04A0" w:firstRow="1" w:lastRow="0" w:firstColumn="1" w:lastColumn="0" w:noHBand="0" w:noVBand="1"/>
      </w:tblPr>
      <w:tblGrid>
        <w:gridCol w:w="3470"/>
        <w:gridCol w:w="1151"/>
        <w:gridCol w:w="1103"/>
        <w:gridCol w:w="1109"/>
        <w:gridCol w:w="1151"/>
        <w:gridCol w:w="1103"/>
        <w:gridCol w:w="1166"/>
      </w:tblGrid>
      <w:tr w:rsidR="009C796D" w:rsidRPr="002518BB" w:rsidTr="00BB5AE6">
        <w:trPr>
          <w:trHeight w:val="225"/>
        </w:trPr>
        <w:tc>
          <w:tcPr>
            <w:tcW w:w="3470"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Exchange</w:t>
            </w:r>
          </w:p>
        </w:tc>
        <w:tc>
          <w:tcPr>
            <w:tcW w:w="6783" w:type="dxa"/>
            <w:gridSpan w:val="6"/>
            <w:tcBorders>
              <w:top w:val="single" w:sz="8" w:space="0" w:color="auto"/>
              <w:left w:val="nil"/>
              <w:bottom w:val="single" w:sz="8" w:space="0" w:color="auto"/>
              <w:right w:val="single" w:sz="8" w:space="0" w:color="000000"/>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Oct-20</w:t>
            </w:r>
          </w:p>
        </w:tc>
      </w:tr>
      <w:tr w:rsidR="009C796D" w:rsidRPr="002518BB" w:rsidTr="00BB5AE6">
        <w:trPr>
          <w:trHeight w:val="225"/>
        </w:trPr>
        <w:tc>
          <w:tcPr>
            <w:tcW w:w="3470" w:type="dxa"/>
            <w:vMerge/>
            <w:tcBorders>
              <w:top w:val="single" w:sz="8" w:space="0" w:color="auto"/>
              <w:left w:val="single" w:sz="8" w:space="0" w:color="auto"/>
              <w:bottom w:val="single" w:sz="8" w:space="0" w:color="000000"/>
              <w:right w:val="single" w:sz="8"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3363" w:type="dxa"/>
            <w:gridSpan w:val="3"/>
            <w:tcBorders>
              <w:top w:val="single" w:sz="8" w:space="0" w:color="auto"/>
              <w:left w:val="nil"/>
              <w:bottom w:val="single" w:sz="8" w:space="0" w:color="auto"/>
              <w:right w:val="single" w:sz="8" w:space="0" w:color="000000"/>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Single Stock Futures</w:t>
            </w:r>
          </w:p>
        </w:tc>
        <w:tc>
          <w:tcPr>
            <w:tcW w:w="3420" w:type="dxa"/>
            <w:gridSpan w:val="3"/>
            <w:tcBorders>
              <w:top w:val="single" w:sz="8" w:space="0" w:color="auto"/>
              <w:left w:val="nil"/>
              <w:bottom w:val="single" w:sz="8" w:space="0" w:color="auto"/>
              <w:right w:val="single" w:sz="8" w:space="0" w:color="000000"/>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Single Stock Options</w:t>
            </w:r>
          </w:p>
        </w:tc>
      </w:tr>
      <w:tr w:rsidR="009C796D" w:rsidRPr="002518BB" w:rsidTr="00BB5AE6">
        <w:trPr>
          <w:trHeight w:val="214"/>
        </w:trPr>
        <w:tc>
          <w:tcPr>
            <w:tcW w:w="3470" w:type="dxa"/>
            <w:vMerge/>
            <w:tcBorders>
              <w:top w:val="single" w:sz="8" w:space="0" w:color="auto"/>
              <w:left w:val="single" w:sz="8" w:space="0" w:color="auto"/>
              <w:bottom w:val="single" w:sz="8" w:space="0" w:color="000000"/>
              <w:right w:val="single" w:sz="8"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1151" w:type="dxa"/>
            <w:tcBorders>
              <w:top w:val="nil"/>
              <w:left w:val="nil"/>
              <w:bottom w:val="nil"/>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Number of</w:t>
            </w:r>
          </w:p>
        </w:tc>
        <w:tc>
          <w:tcPr>
            <w:tcW w:w="1103" w:type="dxa"/>
            <w:tcBorders>
              <w:top w:val="nil"/>
              <w:left w:val="nil"/>
              <w:bottom w:val="nil"/>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Notional</w:t>
            </w:r>
          </w:p>
        </w:tc>
        <w:tc>
          <w:tcPr>
            <w:tcW w:w="1109" w:type="dxa"/>
            <w:tcBorders>
              <w:top w:val="nil"/>
              <w:left w:val="nil"/>
              <w:bottom w:val="nil"/>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Open</w:t>
            </w:r>
          </w:p>
        </w:tc>
        <w:tc>
          <w:tcPr>
            <w:tcW w:w="1151" w:type="dxa"/>
            <w:tcBorders>
              <w:top w:val="nil"/>
              <w:left w:val="nil"/>
              <w:bottom w:val="nil"/>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Number of</w:t>
            </w:r>
          </w:p>
        </w:tc>
        <w:tc>
          <w:tcPr>
            <w:tcW w:w="1103" w:type="dxa"/>
            <w:tcBorders>
              <w:top w:val="nil"/>
              <w:left w:val="nil"/>
              <w:bottom w:val="nil"/>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Notional</w:t>
            </w:r>
          </w:p>
        </w:tc>
        <w:tc>
          <w:tcPr>
            <w:tcW w:w="1165" w:type="dxa"/>
            <w:tcBorders>
              <w:top w:val="nil"/>
              <w:left w:val="nil"/>
              <w:bottom w:val="nil"/>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Open</w:t>
            </w:r>
          </w:p>
        </w:tc>
      </w:tr>
      <w:tr w:rsidR="009C796D" w:rsidRPr="002518BB" w:rsidTr="00BB5AE6">
        <w:trPr>
          <w:trHeight w:val="377"/>
        </w:trPr>
        <w:tc>
          <w:tcPr>
            <w:tcW w:w="3470" w:type="dxa"/>
            <w:vMerge/>
            <w:tcBorders>
              <w:top w:val="single" w:sz="8" w:space="0" w:color="auto"/>
              <w:left w:val="single" w:sz="8" w:space="0" w:color="auto"/>
              <w:bottom w:val="single" w:sz="8" w:space="0" w:color="000000"/>
              <w:right w:val="single" w:sz="8"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1151" w:type="dxa"/>
            <w:tcBorders>
              <w:top w:val="nil"/>
              <w:left w:val="nil"/>
              <w:bottom w:val="single" w:sz="8" w:space="0" w:color="auto"/>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Contracts Traded</w:t>
            </w:r>
          </w:p>
        </w:tc>
        <w:tc>
          <w:tcPr>
            <w:tcW w:w="1103" w:type="dxa"/>
            <w:tcBorders>
              <w:top w:val="nil"/>
              <w:left w:val="nil"/>
              <w:bottom w:val="single" w:sz="8" w:space="0" w:color="auto"/>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Turnover</w:t>
            </w:r>
          </w:p>
        </w:tc>
        <w:tc>
          <w:tcPr>
            <w:tcW w:w="1109" w:type="dxa"/>
            <w:tcBorders>
              <w:top w:val="nil"/>
              <w:left w:val="nil"/>
              <w:bottom w:val="single" w:sz="8" w:space="0" w:color="auto"/>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Interest</w:t>
            </w:r>
          </w:p>
        </w:tc>
        <w:tc>
          <w:tcPr>
            <w:tcW w:w="1151" w:type="dxa"/>
            <w:tcBorders>
              <w:top w:val="nil"/>
              <w:left w:val="nil"/>
              <w:bottom w:val="single" w:sz="8" w:space="0" w:color="auto"/>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Contracts Traded</w:t>
            </w:r>
          </w:p>
        </w:tc>
        <w:tc>
          <w:tcPr>
            <w:tcW w:w="1103" w:type="dxa"/>
            <w:tcBorders>
              <w:top w:val="nil"/>
              <w:left w:val="nil"/>
              <w:bottom w:val="single" w:sz="8" w:space="0" w:color="auto"/>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Turnover</w:t>
            </w:r>
          </w:p>
        </w:tc>
        <w:tc>
          <w:tcPr>
            <w:tcW w:w="1165" w:type="dxa"/>
            <w:tcBorders>
              <w:top w:val="nil"/>
              <w:left w:val="nil"/>
              <w:bottom w:val="single" w:sz="8" w:space="0" w:color="auto"/>
              <w:right w:val="single" w:sz="8"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Interest</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B3 - Brasil Bolsa Balcão</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53,673,200</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215</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22,967,100</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147,404,629</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62,221</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52,232,161</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de Valores de Colombia</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7,704</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11,932</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Mexicana de Valores</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3,000</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3,700</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5,000</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33,000</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y Mercados Argentinos</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Cboe Global Markets</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109,414,793</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240,988,173</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Nasdaq - US</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158,202,478</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MIAX Exchange Group</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47,378,438</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863,590</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ASX Australian Securities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43,285</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56</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426,909</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4,099,538</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8,149</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6,368,109</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Hong Kong Exchanges and Clearing</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71,693</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500</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17,616</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8,989,486</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41,375</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9,317,578</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Japan Exchange Group</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2,813</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41,031</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Korea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87,957,604</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56,309</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5,469,775</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59,261</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19,982</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National Stock Exchange of India</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19,384,435</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193,928</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1,503,589</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27,138,759</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294,088</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496,580</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Singapore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222,095</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36,038</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Taiwan Futures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1,935,110</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17,147</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209,824</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6,388</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80</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2,887</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Thailand Futures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2,108,497</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1,453,344</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Athens Stock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495,255</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91</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262,273</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1,205</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1,702</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BME Spanish Exchanges</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125,069</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31</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1,278,270</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1,233,377</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1,246</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8,908,811</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Borsa Istanbul</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128,572,007</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8,638</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6,568,292</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198,812</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18</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327,485</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Budapest Stock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10,622</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56</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6,996</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Deutsche Boerse AG</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3,099,234</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15,603</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5,560,170</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16,070,284</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78,865</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66,863,185</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Euronext</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Moscow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15,520,722</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3,675</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1,659,622</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150,246</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38</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139,808</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Nasdaq Nordic and Baltics</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192,928</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428</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125,742</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1,615,925</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2,639</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3,567,559</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Tehran Stock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2,857,906</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43</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Tel-Aviv Stock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20,857</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79</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48,981</w:t>
            </w:r>
          </w:p>
        </w:tc>
      </w:tr>
      <w:tr w:rsidR="009C796D" w:rsidRPr="002518BB" w:rsidTr="00BB5AE6">
        <w:trPr>
          <w:trHeight w:val="214"/>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Warsaw Stock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202,545</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356</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43,672</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25"/>
        </w:trPr>
        <w:tc>
          <w:tcPr>
            <w:tcW w:w="3470" w:type="dxa"/>
            <w:tcBorders>
              <w:top w:val="nil"/>
              <w:left w:val="single" w:sz="8" w:space="0" w:color="auto"/>
              <w:bottom w:val="nil"/>
              <w:right w:val="single" w:sz="8" w:space="0" w:color="auto"/>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Dubai Gold and Commodities Exchange</w:t>
            </w:r>
          </w:p>
        </w:tc>
        <w:tc>
          <w:tcPr>
            <w:tcW w:w="1151"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4,495</w:t>
            </w:r>
          </w:p>
        </w:tc>
        <w:tc>
          <w:tcPr>
            <w:tcW w:w="1103"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w:t>
            </w:r>
          </w:p>
        </w:tc>
        <w:tc>
          <w:tcPr>
            <w:tcW w:w="1109"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420</w:t>
            </w:r>
          </w:p>
        </w:tc>
        <w:tc>
          <w:tcPr>
            <w:tcW w:w="115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03" w:type="dxa"/>
            <w:tcBorders>
              <w:top w:val="nil"/>
              <w:left w:val="nil"/>
              <w:bottom w:val="nil"/>
              <w:right w:val="nil"/>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65"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25"/>
        </w:trPr>
        <w:tc>
          <w:tcPr>
            <w:tcW w:w="3470" w:type="dxa"/>
            <w:tcBorders>
              <w:top w:val="single" w:sz="8" w:space="0" w:color="auto"/>
              <w:left w:val="single" w:sz="8" w:space="0" w:color="auto"/>
              <w:bottom w:val="single" w:sz="8" w:space="0" w:color="auto"/>
              <w:right w:val="nil"/>
            </w:tcBorders>
            <w:shd w:val="clear" w:color="000000" w:fill="D9E1F2"/>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Grand Total</w:t>
            </w:r>
          </w:p>
        </w:tc>
        <w:tc>
          <w:tcPr>
            <w:tcW w:w="1151"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313,629,500</w:t>
            </w:r>
          </w:p>
        </w:tc>
        <w:tc>
          <w:tcPr>
            <w:tcW w:w="1103" w:type="dxa"/>
            <w:tcBorders>
              <w:top w:val="single" w:sz="8" w:space="0" w:color="auto"/>
              <w:left w:val="nil"/>
              <w:bottom w:val="single" w:sz="8" w:space="0" w:color="auto"/>
              <w:right w:val="single" w:sz="8"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297,049</w:t>
            </w:r>
          </w:p>
        </w:tc>
        <w:tc>
          <w:tcPr>
            <w:tcW w:w="1109" w:type="dxa"/>
            <w:tcBorders>
              <w:top w:val="single" w:sz="8" w:space="0" w:color="auto"/>
              <w:left w:val="nil"/>
              <w:bottom w:val="single" w:sz="8" w:space="0" w:color="auto"/>
              <w:right w:val="single" w:sz="8"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47,605,284</w:t>
            </w:r>
          </w:p>
        </w:tc>
        <w:tc>
          <w:tcPr>
            <w:tcW w:w="1151" w:type="dxa"/>
            <w:tcBorders>
              <w:top w:val="single" w:sz="8" w:space="0" w:color="auto"/>
              <w:left w:val="nil"/>
              <w:bottom w:val="single" w:sz="8" w:space="0" w:color="auto"/>
              <w:right w:val="single" w:sz="8"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524,850,195</w:t>
            </w:r>
          </w:p>
        </w:tc>
        <w:tc>
          <w:tcPr>
            <w:tcW w:w="1103" w:type="dxa"/>
            <w:tcBorders>
              <w:top w:val="single" w:sz="8" w:space="0" w:color="auto"/>
              <w:left w:val="nil"/>
              <w:bottom w:val="single" w:sz="8" w:space="0" w:color="auto"/>
              <w:right w:val="single" w:sz="8"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1,352,433</w:t>
            </w:r>
          </w:p>
        </w:tc>
        <w:tc>
          <w:tcPr>
            <w:tcW w:w="1165" w:type="dxa"/>
            <w:tcBorders>
              <w:top w:val="single" w:sz="8" w:space="0" w:color="auto"/>
              <w:left w:val="nil"/>
              <w:bottom w:val="single" w:sz="8" w:space="0" w:color="auto"/>
              <w:right w:val="single" w:sz="8"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389,357,032</w:t>
            </w:r>
          </w:p>
        </w:tc>
      </w:tr>
    </w:tbl>
    <w:p w:rsidR="009C796D" w:rsidRPr="00272724" w:rsidRDefault="009C796D" w:rsidP="009C796D">
      <w:pPr>
        <w:tabs>
          <w:tab w:val="left" w:pos="3306"/>
          <w:tab w:val="left" w:pos="4629"/>
          <w:tab w:val="left" w:pos="5685"/>
          <w:tab w:val="left" w:pos="6835"/>
          <w:tab w:val="left" w:pos="7999"/>
          <w:tab w:val="left" w:pos="9070"/>
        </w:tabs>
        <w:spacing w:line="23" w:lineRule="atLeast"/>
        <w:rPr>
          <w:rFonts w:ascii="Garamond" w:eastAsia="Times New Roman" w:hAnsi="Garamond" w:cs="Calibri"/>
          <w:color w:val="000000"/>
          <w:sz w:val="20"/>
          <w:szCs w:val="20"/>
          <w:lang w:val="en-IN" w:eastAsia="en-IN"/>
        </w:rPr>
      </w:pPr>
      <w:r w:rsidRPr="00272724">
        <w:rPr>
          <w:rFonts w:ascii="Garamond" w:hAnsi="Garamond"/>
          <w:bCs/>
          <w:sz w:val="18"/>
          <w:szCs w:val="18"/>
        </w:rPr>
        <w:t xml:space="preserve"> NA: Not Available</w:t>
      </w:r>
    </w:p>
    <w:p w:rsidR="009C796D" w:rsidRPr="00272724" w:rsidRDefault="009C796D" w:rsidP="009C796D">
      <w:pPr>
        <w:tabs>
          <w:tab w:val="left" w:pos="3306"/>
          <w:tab w:val="left" w:pos="4629"/>
          <w:tab w:val="left" w:pos="5685"/>
          <w:tab w:val="left" w:pos="6835"/>
          <w:tab w:val="left" w:pos="7999"/>
          <w:tab w:val="left" w:pos="9070"/>
        </w:tabs>
        <w:spacing w:line="23" w:lineRule="atLeast"/>
        <w:rPr>
          <w:rFonts w:ascii="Garamond" w:hAnsi="Garamond"/>
          <w:bCs/>
          <w:sz w:val="18"/>
          <w:szCs w:val="18"/>
        </w:rPr>
      </w:pPr>
      <w:r w:rsidRPr="00272724">
        <w:rPr>
          <w:rFonts w:ascii="Garamond" w:hAnsi="Garamond"/>
          <w:bCs/>
          <w:sz w:val="18"/>
          <w:szCs w:val="18"/>
        </w:rPr>
        <w:t>Source: World Federation of Exchanges</w:t>
      </w:r>
    </w:p>
    <w:p w:rsidR="009C796D" w:rsidRPr="00272724" w:rsidRDefault="009C796D" w:rsidP="009C796D">
      <w:pPr>
        <w:rPr>
          <w:rFonts w:ascii="Garamond" w:eastAsia="Times New Roman" w:hAnsi="Garamond"/>
          <w:bCs/>
          <w:sz w:val="22"/>
          <w:szCs w:val="22"/>
          <w:lang w:val="en-US"/>
        </w:rPr>
      </w:pPr>
    </w:p>
    <w:p w:rsidR="009C796D" w:rsidRPr="00272724" w:rsidRDefault="009C796D" w:rsidP="009C796D">
      <w:pPr>
        <w:rPr>
          <w:rFonts w:ascii="Garamond" w:eastAsia="Times New Roman" w:hAnsi="Garamond"/>
          <w:bCs/>
          <w:sz w:val="22"/>
          <w:szCs w:val="22"/>
          <w:lang w:val="en-US"/>
        </w:rPr>
      </w:pPr>
      <w:r w:rsidRPr="00272724">
        <w:rPr>
          <w:rFonts w:ascii="Garamond" w:eastAsia="Times New Roman" w:hAnsi="Garamond"/>
          <w:bCs/>
          <w:sz w:val="22"/>
          <w:szCs w:val="22"/>
          <w:lang w:val="en-US"/>
        </w:rPr>
        <w:br w:type="page"/>
      </w:r>
    </w:p>
    <w:p w:rsidR="009C796D" w:rsidRPr="00272724" w:rsidRDefault="009C796D" w:rsidP="009C796D">
      <w:pPr>
        <w:spacing w:line="23" w:lineRule="atLeast"/>
        <w:rPr>
          <w:rFonts w:ascii="Garamond" w:eastAsia="Times New Roman" w:hAnsi="Garamond"/>
          <w:b/>
          <w:bCs/>
          <w:szCs w:val="22"/>
          <w:lang w:val="en-US"/>
        </w:rPr>
      </w:pPr>
      <w:r w:rsidRPr="00272724">
        <w:rPr>
          <w:rFonts w:ascii="Garamond" w:eastAsia="Times New Roman" w:hAnsi="Garamond"/>
          <w:b/>
          <w:bCs/>
          <w:szCs w:val="22"/>
          <w:lang w:val="en-US"/>
        </w:rPr>
        <w:t xml:space="preserve">Table A5: Index Futures and Index Options Traded in Major Exchanges </w:t>
      </w:r>
    </w:p>
    <w:p w:rsidR="009C796D" w:rsidRPr="00272724" w:rsidRDefault="009C796D" w:rsidP="009C796D">
      <w:pPr>
        <w:spacing w:line="23" w:lineRule="atLeast"/>
        <w:ind w:right="249"/>
        <w:jc w:val="right"/>
        <w:rPr>
          <w:rFonts w:ascii="Garamond" w:eastAsia="Times New Roman" w:hAnsi="Garamond"/>
          <w:bCs/>
          <w:sz w:val="22"/>
          <w:szCs w:val="22"/>
          <w:lang w:val="en-US"/>
        </w:rPr>
      </w:pPr>
      <w:r w:rsidRPr="00272724">
        <w:rPr>
          <w:rFonts w:ascii="Garamond" w:hAnsi="Garamond"/>
          <w:bCs/>
          <w:sz w:val="22"/>
          <w:szCs w:val="22"/>
        </w:rPr>
        <w:t>Notional Turnover in (USD million)</w:t>
      </w:r>
    </w:p>
    <w:tbl>
      <w:tblPr>
        <w:tblW w:w="9920" w:type="dxa"/>
        <w:tblLook w:val="04A0" w:firstRow="1" w:lastRow="0" w:firstColumn="1" w:lastColumn="0" w:noHBand="0" w:noVBand="1"/>
      </w:tblPr>
      <w:tblGrid>
        <w:gridCol w:w="3330"/>
        <w:gridCol w:w="1150"/>
        <w:gridCol w:w="1073"/>
        <w:gridCol w:w="1074"/>
        <w:gridCol w:w="1148"/>
        <w:gridCol w:w="1071"/>
        <w:gridCol w:w="1074"/>
      </w:tblGrid>
      <w:tr w:rsidR="009C796D" w:rsidRPr="002518BB" w:rsidTr="00BB5AE6">
        <w:trPr>
          <w:trHeight w:val="235"/>
        </w:trPr>
        <w:tc>
          <w:tcPr>
            <w:tcW w:w="347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Exchange</w:t>
            </w:r>
          </w:p>
        </w:tc>
        <w:tc>
          <w:tcPr>
            <w:tcW w:w="6444" w:type="dxa"/>
            <w:gridSpan w:val="6"/>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Oct-20</w:t>
            </w:r>
          </w:p>
        </w:tc>
      </w:tr>
      <w:tr w:rsidR="009C796D" w:rsidRPr="002518BB" w:rsidTr="00BB5AE6">
        <w:trPr>
          <w:trHeight w:val="235"/>
        </w:trPr>
        <w:tc>
          <w:tcPr>
            <w:tcW w:w="3476" w:type="dxa"/>
            <w:vMerge/>
            <w:tcBorders>
              <w:top w:val="single" w:sz="4" w:space="0" w:color="auto"/>
              <w:left w:val="single" w:sz="4" w:space="0" w:color="auto"/>
              <w:bottom w:val="single" w:sz="4" w:space="0" w:color="auto"/>
              <w:right w:val="single" w:sz="4"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3222" w:type="dxa"/>
            <w:gridSpan w:val="3"/>
            <w:tcBorders>
              <w:top w:val="single" w:sz="4" w:space="0" w:color="auto"/>
              <w:left w:val="nil"/>
              <w:bottom w:val="single" w:sz="4" w:space="0" w:color="auto"/>
              <w:right w:val="single" w:sz="4" w:space="0" w:color="000000"/>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Stock Index Futures</w:t>
            </w:r>
          </w:p>
        </w:tc>
        <w:tc>
          <w:tcPr>
            <w:tcW w:w="3222" w:type="dxa"/>
            <w:gridSpan w:val="3"/>
            <w:tcBorders>
              <w:top w:val="single" w:sz="4" w:space="0" w:color="auto"/>
              <w:left w:val="single" w:sz="4" w:space="0" w:color="auto"/>
              <w:bottom w:val="single" w:sz="4" w:space="0" w:color="auto"/>
              <w:right w:val="single" w:sz="4" w:space="0" w:color="000000"/>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Stock Index Options</w:t>
            </w:r>
          </w:p>
        </w:tc>
      </w:tr>
      <w:tr w:rsidR="009C796D" w:rsidRPr="002518BB" w:rsidTr="00BB5AE6">
        <w:trPr>
          <w:trHeight w:val="613"/>
        </w:trPr>
        <w:tc>
          <w:tcPr>
            <w:tcW w:w="3476" w:type="dxa"/>
            <w:vMerge/>
            <w:tcBorders>
              <w:top w:val="single" w:sz="4" w:space="0" w:color="auto"/>
              <w:left w:val="single" w:sz="4" w:space="0" w:color="auto"/>
              <w:bottom w:val="single" w:sz="4" w:space="0" w:color="auto"/>
              <w:right w:val="single" w:sz="4"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1074" w:type="dxa"/>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Number of</w:t>
            </w:r>
            <w:r w:rsidRPr="007F7CF7">
              <w:rPr>
                <w:rFonts w:ascii="Garamond" w:eastAsia="Times New Roman" w:hAnsi="Garamond" w:cs="Calibri"/>
                <w:b/>
                <w:bCs/>
                <w:color w:val="000000"/>
                <w:sz w:val="20"/>
                <w:szCs w:val="20"/>
                <w:lang w:val="en-IN" w:eastAsia="en-IN" w:bidi="hi-IN"/>
              </w:rPr>
              <w:br/>
              <w:t>Contracts Traded</w:t>
            </w:r>
          </w:p>
        </w:tc>
        <w:tc>
          <w:tcPr>
            <w:tcW w:w="1074" w:type="dxa"/>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Notional</w:t>
            </w:r>
            <w:r w:rsidRPr="007F7CF7">
              <w:rPr>
                <w:rFonts w:ascii="Garamond" w:eastAsia="Times New Roman" w:hAnsi="Garamond" w:cs="Calibri"/>
                <w:b/>
                <w:bCs/>
                <w:color w:val="000000"/>
                <w:sz w:val="20"/>
                <w:szCs w:val="20"/>
                <w:lang w:val="en-IN" w:eastAsia="en-IN" w:bidi="hi-IN"/>
              </w:rPr>
              <w:br/>
              <w:t>Turnover</w:t>
            </w:r>
          </w:p>
        </w:tc>
        <w:tc>
          <w:tcPr>
            <w:tcW w:w="1074" w:type="dxa"/>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Open</w:t>
            </w:r>
            <w:r w:rsidRPr="007F7CF7">
              <w:rPr>
                <w:rFonts w:ascii="Garamond" w:eastAsia="Times New Roman" w:hAnsi="Garamond" w:cs="Calibri"/>
                <w:b/>
                <w:bCs/>
                <w:color w:val="000000"/>
                <w:sz w:val="20"/>
                <w:szCs w:val="20"/>
                <w:lang w:val="en-IN" w:eastAsia="en-IN" w:bidi="hi-IN"/>
              </w:rPr>
              <w:br/>
              <w:t>Interest</w:t>
            </w:r>
          </w:p>
        </w:tc>
        <w:tc>
          <w:tcPr>
            <w:tcW w:w="1074" w:type="dxa"/>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Number of</w:t>
            </w:r>
            <w:r w:rsidRPr="007F7CF7">
              <w:rPr>
                <w:rFonts w:ascii="Garamond" w:eastAsia="Times New Roman" w:hAnsi="Garamond" w:cs="Calibri"/>
                <w:b/>
                <w:bCs/>
                <w:color w:val="000000"/>
                <w:sz w:val="20"/>
                <w:szCs w:val="20"/>
                <w:lang w:val="en-IN" w:eastAsia="en-IN" w:bidi="hi-IN"/>
              </w:rPr>
              <w:br/>
              <w:t>Contracts Traded</w:t>
            </w:r>
          </w:p>
        </w:tc>
        <w:tc>
          <w:tcPr>
            <w:tcW w:w="1074" w:type="dxa"/>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Notional</w:t>
            </w:r>
            <w:r w:rsidRPr="007F7CF7">
              <w:rPr>
                <w:rFonts w:ascii="Garamond" w:eastAsia="Times New Roman" w:hAnsi="Garamond" w:cs="Calibri"/>
                <w:b/>
                <w:bCs/>
                <w:color w:val="000000"/>
                <w:sz w:val="20"/>
                <w:szCs w:val="20"/>
                <w:lang w:val="en-IN" w:eastAsia="en-IN" w:bidi="hi-IN"/>
              </w:rPr>
              <w:br/>
              <w:t>Turnover</w:t>
            </w:r>
          </w:p>
        </w:tc>
        <w:tc>
          <w:tcPr>
            <w:tcW w:w="1074" w:type="dxa"/>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Open</w:t>
            </w:r>
            <w:r w:rsidRPr="007F7CF7">
              <w:rPr>
                <w:rFonts w:ascii="Garamond" w:eastAsia="Times New Roman" w:hAnsi="Garamond" w:cs="Calibri"/>
                <w:b/>
                <w:bCs/>
                <w:color w:val="000000"/>
                <w:sz w:val="20"/>
                <w:szCs w:val="20"/>
                <w:lang w:val="en-IN" w:eastAsia="en-IN" w:bidi="hi-IN"/>
              </w:rPr>
              <w:br/>
              <w:t>Interest</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B3 - Brasil Bolsa Balcão</w:t>
            </w:r>
          </w:p>
        </w:tc>
        <w:tc>
          <w:tcPr>
            <w:tcW w:w="1074" w:type="dxa"/>
            <w:tcBorders>
              <w:top w:val="single" w:sz="8" w:space="0" w:color="auto"/>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269,334,327</w:t>
            </w:r>
          </w:p>
        </w:tc>
        <w:tc>
          <w:tcPr>
            <w:tcW w:w="1074"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961,862</w:t>
            </w:r>
          </w:p>
        </w:tc>
        <w:tc>
          <w:tcPr>
            <w:tcW w:w="1074"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1,174,223</w:t>
            </w:r>
          </w:p>
        </w:tc>
        <w:tc>
          <w:tcPr>
            <w:tcW w:w="1074"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1,750,337</w:t>
            </w:r>
          </w:p>
        </w:tc>
        <w:tc>
          <w:tcPr>
            <w:tcW w:w="1074"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29,098</w:t>
            </w:r>
          </w:p>
        </w:tc>
        <w:tc>
          <w:tcPr>
            <w:tcW w:w="1074"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537,761</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de Valores de Colombia</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1,972</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4,608</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Mexicana de Valores</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26,501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469</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20,650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1,623</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28</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1,848</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y Mercados Argentinos</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Cboe Global Markets</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35,160,624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23,740,240</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Nasdaq - US</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237,228</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MIAX Exchange Group</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62</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Matba Rofex</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137,884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118</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8,927</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986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195</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CME Group</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104,481,945</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11,239,696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4,380,584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14,478,029</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2,614,191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3,467,855</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Cboe Futures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3,311,723</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285,253</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ASX Australian Securities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1,051,867</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111,118</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310,106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494,593</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20,729</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641,238</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Hong Kong Exchanges and Clearing</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7,130,824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619,026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731,364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2,235,823</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132,646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2,611,627</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Japan Exchange Group</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21,557,347</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925,304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1,798,156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1,610,826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1,819,706</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Korea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9,850,224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406,395</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752,536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45,003,759</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3,060,369</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2,374,065</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National Stock Exchange of India</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10,631,893</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99,119</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226,972</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729,238,811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6,826,550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1,963,009</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Singapore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12,095,751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1,558,044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477,211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1,866,365</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Taiwan Futures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6,882,307</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343,114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186,030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11,948,791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267,753</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471,540</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Thailand Futures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4,196,764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457,885</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163,677</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67,072</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Bursa Malaysia Derivatives</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264,207</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4,766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24,636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1,189</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308</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China Financial Futures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4,458,192</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851,116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505,260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1,258,037</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1,605</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130,805</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Athens Stock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26,570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3,304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2,042</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1,207</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BME Spanish Exchanges</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614,954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38,253</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130,220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156,895</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1,270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756,712</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Borsa Istanbul</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7,530,671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11,638</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503,241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26,584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27,884</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Budapest Stock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44,161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47</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19,211</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Deutsche Boerse AG</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33,566,669</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1,727,500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10,878,104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30,713,922</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1,053,114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56,402,143</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Euronext</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Moscow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14,540,268</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31,729</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526,000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1,376,834</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3,057</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379,540</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Nasdaq Nordic and Baltics</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3,198,013</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64,170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454,996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582,028</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11,800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564,200</w:t>
            </w:r>
          </w:p>
        </w:tc>
      </w:tr>
      <w:tr w:rsidR="009C796D" w:rsidRPr="002518BB" w:rsidTr="00BB5AE6">
        <w:trPr>
          <w:trHeight w:val="235"/>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Tel-Aviv Stock Exchange</w:t>
            </w:r>
          </w:p>
        </w:tc>
        <w:tc>
          <w:tcPr>
            <w:tcW w:w="1074"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2,218,716</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87,970</w:t>
            </w:r>
          </w:p>
        </w:tc>
        <w:tc>
          <w:tcPr>
            <w:tcW w:w="1074"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139,928</w:t>
            </w:r>
          </w:p>
        </w:tc>
      </w:tr>
      <w:tr w:rsidR="009C796D" w:rsidRPr="002518BB" w:rsidTr="00BB5AE6">
        <w:trPr>
          <w:trHeight w:val="247"/>
        </w:trPr>
        <w:tc>
          <w:tcPr>
            <w:tcW w:w="347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Warsaw Stock Exchange</w:t>
            </w:r>
          </w:p>
        </w:tc>
        <w:tc>
          <w:tcPr>
            <w:tcW w:w="1074" w:type="dxa"/>
            <w:tcBorders>
              <w:top w:val="nil"/>
              <w:left w:val="single" w:sz="8" w:space="0" w:color="auto"/>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549,254</w:t>
            </w:r>
          </w:p>
        </w:tc>
        <w:tc>
          <w:tcPr>
            <w:tcW w:w="1074"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4,625</w:t>
            </w:r>
          </w:p>
        </w:tc>
        <w:tc>
          <w:tcPr>
            <w:tcW w:w="1074"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44,276</w:t>
            </w:r>
          </w:p>
        </w:tc>
        <w:tc>
          <w:tcPr>
            <w:tcW w:w="1074"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41,588</w:t>
            </w:r>
          </w:p>
        </w:tc>
        <w:tc>
          <w:tcPr>
            <w:tcW w:w="1074"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175</w:t>
            </w:r>
          </w:p>
        </w:tc>
        <w:tc>
          <w:tcPr>
            <w:tcW w:w="1074"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22,398</w:t>
            </w:r>
          </w:p>
        </w:tc>
      </w:tr>
      <w:tr w:rsidR="009C796D" w:rsidRPr="002518BB" w:rsidTr="00BB5AE6">
        <w:trPr>
          <w:trHeight w:val="247"/>
        </w:trPr>
        <w:tc>
          <w:tcPr>
            <w:tcW w:w="3476" w:type="dxa"/>
            <w:tcBorders>
              <w:top w:val="single" w:sz="8" w:space="0" w:color="auto"/>
              <w:left w:val="single" w:sz="8" w:space="0" w:color="auto"/>
              <w:bottom w:val="single" w:sz="8" w:space="0" w:color="auto"/>
              <w:right w:val="single" w:sz="4" w:space="0" w:color="auto"/>
            </w:tcBorders>
            <w:shd w:val="clear" w:color="000000" w:fill="D9E1F2"/>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Grand Total</w:t>
            </w:r>
          </w:p>
        </w:tc>
        <w:tc>
          <w:tcPr>
            <w:tcW w:w="1074"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515,484,288</w:t>
            </w:r>
          </w:p>
        </w:tc>
        <w:tc>
          <w:tcPr>
            <w:tcW w:w="1074"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17,440,157</w:t>
            </w:r>
          </w:p>
        </w:tc>
        <w:tc>
          <w:tcPr>
            <w:tcW w:w="1074"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24,984,586</w:t>
            </w:r>
          </w:p>
        </w:tc>
        <w:tc>
          <w:tcPr>
            <w:tcW w:w="1074"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879,180,215</w:t>
            </w:r>
          </w:p>
        </w:tc>
        <w:tc>
          <w:tcPr>
            <w:tcW w:w="1074"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14,110,404</w:t>
            </w:r>
          </w:p>
        </w:tc>
        <w:tc>
          <w:tcPr>
            <w:tcW w:w="1074"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97,987,646</w:t>
            </w:r>
          </w:p>
        </w:tc>
      </w:tr>
    </w:tbl>
    <w:p w:rsidR="009C796D" w:rsidRPr="00272724" w:rsidRDefault="009C796D" w:rsidP="009C796D">
      <w:pPr>
        <w:spacing w:line="23" w:lineRule="atLeast"/>
        <w:rPr>
          <w:rFonts w:ascii="Garamond" w:hAnsi="Garamond"/>
          <w:bCs/>
          <w:sz w:val="18"/>
          <w:szCs w:val="18"/>
        </w:rPr>
      </w:pPr>
    </w:p>
    <w:p w:rsidR="009C796D" w:rsidRPr="00272724" w:rsidRDefault="009C796D" w:rsidP="009C796D">
      <w:pPr>
        <w:spacing w:line="23" w:lineRule="atLeast"/>
        <w:jc w:val="both"/>
        <w:outlineLvl w:val="0"/>
        <w:rPr>
          <w:rFonts w:ascii="Garamond" w:eastAsia="Times New Roman" w:hAnsi="Garamond" w:cs="Calibri"/>
          <w:color w:val="000000"/>
          <w:sz w:val="20"/>
          <w:szCs w:val="20"/>
          <w:lang w:val="en-IN" w:eastAsia="en-IN"/>
        </w:rPr>
      </w:pPr>
      <w:r w:rsidRPr="00272724">
        <w:rPr>
          <w:rFonts w:ascii="Garamond" w:hAnsi="Garamond"/>
          <w:bCs/>
          <w:sz w:val="18"/>
          <w:szCs w:val="18"/>
        </w:rPr>
        <w:t>NA: Not Available</w:t>
      </w:r>
      <w:r w:rsidRPr="00272724">
        <w:rPr>
          <w:rFonts w:ascii="Garamond" w:eastAsia="Times New Roman" w:hAnsi="Garamond" w:cs="Calibri"/>
          <w:color w:val="000000"/>
          <w:sz w:val="20"/>
          <w:szCs w:val="20"/>
          <w:lang w:val="en-IN" w:eastAsia="en-IN"/>
        </w:rPr>
        <w:t>.</w:t>
      </w:r>
    </w:p>
    <w:p w:rsidR="009C796D" w:rsidRPr="00272724" w:rsidRDefault="009C796D" w:rsidP="009C796D">
      <w:pPr>
        <w:spacing w:line="23" w:lineRule="atLeast"/>
        <w:jc w:val="both"/>
        <w:outlineLvl w:val="0"/>
        <w:rPr>
          <w:rFonts w:ascii="Garamond" w:eastAsia="Times New Roman" w:hAnsi="Garamond"/>
          <w:bCs/>
          <w:sz w:val="18"/>
          <w:szCs w:val="18"/>
          <w:lang w:val="en-US"/>
        </w:rPr>
      </w:pPr>
      <w:r w:rsidRPr="00272724">
        <w:rPr>
          <w:rFonts w:ascii="Garamond" w:hAnsi="Garamond"/>
          <w:bCs/>
          <w:sz w:val="18"/>
          <w:szCs w:val="18"/>
        </w:rPr>
        <w:t>Source: World Federation of Exchanges</w:t>
      </w:r>
      <w:r w:rsidRPr="00272724">
        <w:rPr>
          <w:rFonts w:ascii="Garamond" w:eastAsia="Times New Roman" w:hAnsi="Garamond"/>
          <w:bCs/>
          <w:sz w:val="18"/>
          <w:szCs w:val="18"/>
          <w:lang w:val="en-US"/>
        </w:rPr>
        <w:tab/>
      </w:r>
    </w:p>
    <w:p w:rsidR="009C796D" w:rsidRPr="00272724" w:rsidRDefault="009C796D" w:rsidP="009C796D">
      <w:pPr>
        <w:spacing w:line="23" w:lineRule="atLeast"/>
        <w:jc w:val="both"/>
        <w:outlineLvl w:val="0"/>
        <w:rPr>
          <w:rFonts w:ascii="Garamond" w:eastAsia="Times New Roman" w:hAnsi="Garamond"/>
          <w:bCs/>
          <w:sz w:val="18"/>
          <w:szCs w:val="18"/>
          <w:lang w:val="en-US"/>
        </w:rPr>
      </w:pPr>
    </w:p>
    <w:p w:rsidR="009C796D" w:rsidRPr="00272724" w:rsidRDefault="009C796D" w:rsidP="009C796D">
      <w:pPr>
        <w:rPr>
          <w:rFonts w:ascii="Garamond" w:hAnsi="Garamond"/>
          <w:bCs/>
          <w:strike/>
          <w:sz w:val="22"/>
          <w:szCs w:val="22"/>
        </w:rPr>
      </w:pPr>
      <w:r w:rsidRPr="00272724">
        <w:rPr>
          <w:rFonts w:ascii="Garamond" w:hAnsi="Garamond"/>
          <w:bCs/>
          <w:strike/>
          <w:sz w:val="22"/>
          <w:szCs w:val="22"/>
        </w:rPr>
        <w:br w:type="page"/>
      </w:r>
    </w:p>
    <w:p w:rsidR="009C796D" w:rsidRPr="00272724" w:rsidRDefault="009C796D" w:rsidP="009C796D">
      <w:pPr>
        <w:spacing w:line="23" w:lineRule="atLeast"/>
        <w:jc w:val="both"/>
        <w:rPr>
          <w:rFonts w:ascii="Garamond" w:hAnsi="Garamond"/>
          <w:b/>
          <w:sz w:val="28"/>
          <w:lang w:val="en-US"/>
        </w:rPr>
      </w:pPr>
      <w:r w:rsidRPr="00272724">
        <w:rPr>
          <w:rFonts w:ascii="Garamond" w:hAnsi="Garamond"/>
          <w:b/>
          <w:bCs/>
          <w:szCs w:val="22"/>
        </w:rPr>
        <w:t>Table A6: Currency Futures and Options Traded in Major Exchanges</w:t>
      </w:r>
    </w:p>
    <w:p w:rsidR="009C796D" w:rsidRPr="00272724" w:rsidRDefault="009C796D" w:rsidP="009C796D">
      <w:pPr>
        <w:ind w:right="957"/>
        <w:jc w:val="right"/>
        <w:rPr>
          <w:rFonts w:ascii="Garamond" w:eastAsia="Times New Roman" w:hAnsi="Garamond"/>
          <w:bCs/>
          <w:sz w:val="22"/>
          <w:szCs w:val="22"/>
          <w:lang w:val="en-US"/>
        </w:rPr>
      </w:pPr>
      <w:r w:rsidRPr="00272724">
        <w:rPr>
          <w:rFonts w:ascii="Garamond" w:hAnsi="Garamond"/>
          <w:bCs/>
          <w:sz w:val="22"/>
          <w:szCs w:val="22"/>
        </w:rPr>
        <w:t>Notional Turnover in (USD million)</w:t>
      </w:r>
    </w:p>
    <w:tbl>
      <w:tblPr>
        <w:tblW w:w="10069" w:type="dxa"/>
        <w:tblLook w:val="04A0" w:firstRow="1" w:lastRow="0" w:firstColumn="1" w:lastColumn="0" w:noHBand="0" w:noVBand="1"/>
      </w:tblPr>
      <w:tblGrid>
        <w:gridCol w:w="3466"/>
        <w:gridCol w:w="1161"/>
        <w:gridCol w:w="1088"/>
        <w:gridCol w:w="1090"/>
        <w:gridCol w:w="1089"/>
        <w:gridCol w:w="1088"/>
        <w:gridCol w:w="1087"/>
      </w:tblGrid>
      <w:tr w:rsidR="009C796D" w:rsidRPr="002518BB" w:rsidTr="00BB5AE6">
        <w:trPr>
          <w:trHeight w:val="214"/>
        </w:trPr>
        <w:tc>
          <w:tcPr>
            <w:tcW w:w="346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Exchange</w:t>
            </w:r>
          </w:p>
        </w:tc>
        <w:tc>
          <w:tcPr>
            <w:tcW w:w="6603" w:type="dxa"/>
            <w:gridSpan w:val="6"/>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Oct-20</w:t>
            </w:r>
          </w:p>
        </w:tc>
      </w:tr>
      <w:tr w:rsidR="009C796D" w:rsidRPr="002518BB" w:rsidTr="00BB5AE6">
        <w:trPr>
          <w:trHeight w:val="214"/>
        </w:trPr>
        <w:tc>
          <w:tcPr>
            <w:tcW w:w="3466" w:type="dxa"/>
            <w:vMerge/>
            <w:tcBorders>
              <w:top w:val="single" w:sz="4" w:space="0" w:color="auto"/>
              <w:left w:val="single" w:sz="4" w:space="0" w:color="auto"/>
              <w:bottom w:val="single" w:sz="4" w:space="0" w:color="auto"/>
              <w:right w:val="single" w:sz="4"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3339" w:type="dxa"/>
            <w:gridSpan w:val="3"/>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Currency Futures</w:t>
            </w:r>
          </w:p>
        </w:tc>
        <w:tc>
          <w:tcPr>
            <w:tcW w:w="3264" w:type="dxa"/>
            <w:gridSpan w:val="3"/>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Currency Options</w:t>
            </w:r>
          </w:p>
        </w:tc>
      </w:tr>
      <w:tr w:rsidR="009C796D" w:rsidRPr="002518BB" w:rsidTr="00BB5AE6">
        <w:trPr>
          <w:trHeight w:val="558"/>
        </w:trPr>
        <w:tc>
          <w:tcPr>
            <w:tcW w:w="3466" w:type="dxa"/>
            <w:vMerge/>
            <w:tcBorders>
              <w:top w:val="single" w:sz="4" w:space="0" w:color="auto"/>
              <w:left w:val="single" w:sz="4" w:space="0" w:color="auto"/>
              <w:bottom w:val="single" w:sz="4" w:space="0" w:color="auto"/>
              <w:right w:val="single" w:sz="4"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1161"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Number of</w:t>
            </w:r>
            <w:r w:rsidRPr="007F7CF7">
              <w:rPr>
                <w:rFonts w:ascii="Garamond" w:eastAsia="Times New Roman" w:hAnsi="Garamond" w:cs="Calibri"/>
                <w:b/>
                <w:bCs/>
                <w:color w:val="000000"/>
                <w:sz w:val="20"/>
                <w:szCs w:val="20"/>
                <w:lang w:val="en-IN" w:eastAsia="en-IN" w:bidi="hi-IN"/>
              </w:rPr>
              <w:br/>
              <w:t>Contracts Traded</w:t>
            </w:r>
          </w:p>
        </w:tc>
        <w:tc>
          <w:tcPr>
            <w:tcW w:w="1088"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Notional</w:t>
            </w:r>
            <w:r w:rsidRPr="007F7CF7">
              <w:rPr>
                <w:rFonts w:ascii="Garamond" w:eastAsia="Times New Roman" w:hAnsi="Garamond" w:cs="Calibri"/>
                <w:b/>
                <w:bCs/>
                <w:color w:val="000000"/>
                <w:sz w:val="20"/>
                <w:szCs w:val="20"/>
                <w:lang w:val="en-IN" w:eastAsia="en-IN" w:bidi="hi-IN"/>
              </w:rPr>
              <w:br/>
              <w:t>Turnover</w:t>
            </w:r>
          </w:p>
        </w:tc>
        <w:tc>
          <w:tcPr>
            <w:tcW w:w="1089"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Open</w:t>
            </w:r>
            <w:r w:rsidRPr="007F7CF7">
              <w:rPr>
                <w:rFonts w:ascii="Garamond" w:eastAsia="Times New Roman" w:hAnsi="Garamond" w:cs="Calibri"/>
                <w:b/>
                <w:bCs/>
                <w:color w:val="000000"/>
                <w:sz w:val="20"/>
                <w:szCs w:val="20"/>
                <w:lang w:val="en-IN" w:eastAsia="en-IN" w:bidi="hi-IN"/>
              </w:rPr>
              <w:br/>
              <w:t>Interest</w:t>
            </w:r>
          </w:p>
        </w:tc>
        <w:tc>
          <w:tcPr>
            <w:tcW w:w="1089"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Number of</w:t>
            </w:r>
            <w:r w:rsidRPr="007F7CF7">
              <w:rPr>
                <w:rFonts w:ascii="Garamond" w:eastAsia="Times New Roman" w:hAnsi="Garamond" w:cs="Calibri"/>
                <w:b/>
                <w:bCs/>
                <w:color w:val="000000"/>
                <w:sz w:val="20"/>
                <w:szCs w:val="20"/>
                <w:lang w:val="en-IN" w:eastAsia="en-IN" w:bidi="hi-IN"/>
              </w:rPr>
              <w:br/>
              <w:t>Contracts Traded</w:t>
            </w:r>
          </w:p>
        </w:tc>
        <w:tc>
          <w:tcPr>
            <w:tcW w:w="1088"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Notional</w:t>
            </w:r>
            <w:r w:rsidRPr="007F7CF7">
              <w:rPr>
                <w:rFonts w:ascii="Garamond" w:eastAsia="Times New Roman" w:hAnsi="Garamond" w:cs="Calibri"/>
                <w:b/>
                <w:bCs/>
                <w:color w:val="000000"/>
                <w:sz w:val="20"/>
                <w:szCs w:val="20"/>
                <w:lang w:val="en-IN" w:eastAsia="en-IN" w:bidi="hi-IN"/>
              </w:rPr>
              <w:br/>
              <w:t>Turnover</w:t>
            </w:r>
          </w:p>
        </w:tc>
        <w:tc>
          <w:tcPr>
            <w:tcW w:w="1087"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Open</w:t>
            </w:r>
            <w:r w:rsidRPr="007F7CF7">
              <w:rPr>
                <w:rFonts w:ascii="Garamond" w:eastAsia="Times New Roman" w:hAnsi="Garamond" w:cs="Calibri"/>
                <w:b/>
                <w:bCs/>
                <w:color w:val="000000"/>
                <w:sz w:val="20"/>
                <w:szCs w:val="20"/>
                <w:lang w:val="en-IN" w:eastAsia="en-IN" w:bidi="hi-IN"/>
              </w:rPr>
              <w:br/>
              <w:t>Interest</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B3 - Brasil Bolsa Balcão</w:t>
            </w:r>
          </w:p>
        </w:tc>
        <w:tc>
          <w:tcPr>
            <w:tcW w:w="1161" w:type="dxa"/>
            <w:tcBorders>
              <w:top w:val="single" w:sz="8" w:space="0" w:color="auto"/>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71,727,997</w:t>
            </w:r>
          </w:p>
        </w:tc>
        <w:tc>
          <w:tcPr>
            <w:tcW w:w="1088"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921,723</w:t>
            </w:r>
          </w:p>
        </w:tc>
        <w:tc>
          <w:tcPr>
            <w:tcW w:w="1089"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5,134,347</w:t>
            </w:r>
          </w:p>
        </w:tc>
        <w:tc>
          <w:tcPr>
            <w:tcW w:w="1089"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363,230</w:t>
            </w:r>
          </w:p>
        </w:tc>
        <w:tc>
          <w:tcPr>
            <w:tcW w:w="1088"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272</w:t>
            </w:r>
          </w:p>
        </w:tc>
        <w:tc>
          <w:tcPr>
            <w:tcW w:w="1087"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731,015</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de Valores de Colombia</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15,693</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710</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11,311</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33</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Mexicana de Valores</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154,988</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1,581</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503,172</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2,600</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27</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5,880</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y Mercados Argentinos</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Matba Rofex</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14,732,024</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15,857</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4,741,490</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1,258</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175</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CME Group</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14,789,796</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1,365,117</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1,648,276</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708,280</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81,036</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653,977</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BSE India Limited</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Hong Kong Exchanges and Clearing</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138,493</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13,194</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27,209</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486</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49</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3,083</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Korea Exchange</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8,078,904</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81,393</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848,658</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National Stock Exchange of India</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60,003,856</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62,218</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2,634,770</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69,635,339</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68,895</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3,344,039</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Singapore Exchange</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1,923,186</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145,386</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103</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347</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Taiwan Futures Exchange</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30,245</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981</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3,499</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115</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816</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Thailand Futures Exchange</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267,686</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58,538</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Borsa Istanbul</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6,521,082</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6,493</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3,116,363</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84,354</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79</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64,924</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Budapest Stock Exchange</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404,553</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461</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570,954</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4,000</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4,000</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Moscow Exchange</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90,315,445</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90,335</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3,214,288</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2,313,288</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2,303</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1,420,046</w:t>
            </w:r>
          </w:p>
        </w:tc>
      </w:tr>
      <w:tr w:rsidR="009C796D" w:rsidRPr="002518BB" w:rsidTr="00BB5AE6">
        <w:trPr>
          <w:trHeight w:val="214"/>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Tel-Aviv Stock Exchange</w:t>
            </w:r>
          </w:p>
        </w:tc>
        <w:tc>
          <w:tcPr>
            <w:tcW w:w="1161"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9"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1,100,018</w:t>
            </w:r>
          </w:p>
        </w:tc>
        <w:tc>
          <w:tcPr>
            <w:tcW w:w="1088"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10,972</w:t>
            </w:r>
          </w:p>
        </w:tc>
        <w:tc>
          <w:tcPr>
            <w:tcW w:w="108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515,209</w:t>
            </w:r>
          </w:p>
        </w:tc>
      </w:tr>
      <w:tr w:rsidR="009C796D" w:rsidRPr="002518BB" w:rsidTr="00BB5AE6">
        <w:trPr>
          <w:trHeight w:val="225"/>
        </w:trPr>
        <w:tc>
          <w:tcPr>
            <w:tcW w:w="3466"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Dubai Gold and Commodities Exchange</w:t>
            </w:r>
          </w:p>
        </w:tc>
        <w:tc>
          <w:tcPr>
            <w:tcW w:w="1161" w:type="dxa"/>
            <w:tcBorders>
              <w:top w:val="nil"/>
              <w:left w:val="single" w:sz="8" w:space="0" w:color="auto"/>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854,793</w:t>
            </w:r>
          </w:p>
        </w:tc>
        <w:tc>
          <w:tcPr>
            <w:tcW w:w="1088"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5,695</w:t>
            </w:r>
          </w:p>
        </w:tc>
        <w:tc>
          <w:tcPr>
            <w:tcW w:w="1089"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148,580</w:t>
            </w:r>
          </w:p>
        </w:tc>
        <w:tc>
          <w:tcPr>
            <w:tcW w:w="1089"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8"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087" w:type="dxa"/>
            <w:tcBorders>
              <w:top w:val="nil"/>
              <w:left w:val="nil"/>
              <w:bottom w:val="single" w:sz="8"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25"/>
        </w:trPr>
        <w:tc>
          <w:tcPr>
            <w:tcW w:w="3466" w:type="dxa"/>
            <w:tcBorders>
              <w:top w:val="single" w:sz="8" w:space="0" w:color="auto"/>
              <w:left w:val="single" w:sz="8" w:space="0" w:color="auto"/>
              <w:bottom w:val="single" w:sz="8" w:space="0" w:color="auto"/>
              <w:right w:val="single" w:sz="4" w:space="0" w:color="auto"/>
            </w:tcBorders>
            <w:shd w:val="clear" w:color="000000" w:fill="D9E1F2"/>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Grand Total</w:t>
            </w:r>
          </w:p>
        </w:tc>
        <w:tc>
          <w:tcPr>
            <w:tcW w:w="1161"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269,958,741</w:t>
            </w:r>
          </w:p>
        </w:tc>
        <w:tc>
          <w:tcPr>
            <w:tcW w:w="1088"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2,565,757</w:t>
            </w:r>
          </w:p>
        </w:tc>
        <w:tc>
          <w:tcPr>
            <w:tcW w:w="1089"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22,806,841</w:t>
            </w:r>
          </w:p>
        </w:tc>
        <w:tc>
          <w:tcPr>
            <w:tcW w:w="1089"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74,213,077</w:t>
            </w:r>
          </w:p>
        </w:tc>
        <w:tc>
          <w:tcPr>
            <w:tcW w:w="1088"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163,644</w:t>
            </w:r>
          </w:p>
        </w:tc>
        <w:tc>
          <w:tcPr>
            <w:tcW w:w="1087" w:type="dxa"/>
            <w:tcBorders>
              <w:top w:val="nil"/>
              <w:left w:val="single" w:sz="4" w:space="0" w:color="auto"/>
              <w:bottom w:val="single" w:sz="8" w:space="0" w:color="auto"/>
              <w:right w:val="single" w:sz="8"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6,743,544</w:t>
            </w:r>
          </w:p>
        </w:tc>
      </w:tr>
    </w:tbl>
    <w:p w:rsidR="009C796D" w:rsidRPr="00272724" w:rsidRDefault="009C796D" w:rsidP="009C796D">
      <w:pPr>
        <w:tabs>
          <w:tab w:val="left" w:pos="3306"/>
          <w:tab w:val="left" w:pos="4629"/>
          <w:tab w:val="left" w:pos="5685"/>
          <w:tab w:val="left" w:pos="6759"/>
          <w:tab w:val="left" w:pos="7923"/>
          <w:tab w:val="left" w:pos="8994"/>
        </w:tabs>
        <w:spacing w:line="23" w:lineRule="atLeast"/>
        <w:rPr>
          <w:rFonts w:ascii="Garamond" w:eastAsia="Times New Roman" w:hAnsi="Garamond"/>
          <w:bCs/>
          <w:sz w:val="18"/>
          <w:szCs w:val="18"/>
          <w:lang w:val="en-US"/>
        </w:rPr>
      </w:pP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p>
    <w:p w:rsidR="009C796D" w:rsidRPr="00272724" w:rsidRDefault="009C796D" w:rsidP="009C796D">
      <w:pPr>
        <w:spacing w:line="23" w:lineRule="atLeast"/>
        <w:jc w:val="both"/>
        <w:rPr>
          <w:rFonts w:ascii="Garamond" w:hAnsi="Garamond"/>
          <w:bCs/>
          <w:sz w:val="18"/>
          <w:szCs w:val="18"/>
        </w:rPr>
      </w:pPr>
      <w:r w:rsidRPr="00272724">
        <w:rPr>
          <w:rFonts w:ascii="Garamond" w:hAnsi="Garamond"/>
          <w:bCs/>
          <w:sz w:val="18"/>
          <w:szCs w:val="18"/>
        </w:rPr>
        <w:t>NA: Not Available</w:t>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9C796D" w:rsidRPr="002518BB" w:rsidRDefault="009C796D" w:rsidP="009C796D">
      <w:pPr>
        <w:spacing w:line="23" w:lineRule="atLeast"/>
        <w:rPr>
          <w:rFonts w:ascii="Garamond" w:hAnsi="Garamond"/>
          <w:bCs/>
          <w:sz w:val="22"/>
          <w:szCs w:val="22"/>
          <w:highlight w:val="lightGray"/>
        </w:rPr>
      </w:pPr>
      <w:r w:rsidRPr="00272724">
        <w:rPr>
          <w:rFonts w:ascii="Garamond" w:eastAsia="Times New Roman" w:hAnsi="Garamond"/>
          <w:bCs/>
          <w:sz w:val="22"/>
          <w:szCs w:val="22"/>
          <w:lang w:val="en-US"/>
        </w:rPr>
        <w:tab/>
      </w:r>
    </w:p>
    <w:p w:rsidR="009C796D" w:rsidRPr="00272724" w:rsidRDefault="009C796D" w:rsidP="009C796D">
      <w:pPr>
        <w:spacing w:line="23" w:lineRule="atLeast"/>
        <w:rPr>
          <w:rFonts w:ascii="Garamond" w:hAnsi="Garamond"/>
          <w:bCs/>
          <w:sz w:val="22"/>
          <w:szCs w:val="22"/>
        </w:rPr>
      </w:pPr>
    </w:p>
    <w:p w:rsidR="009C796D" w:rsidRPr="00272724" w:rsidRDefault="009C796D" w:rsidP="009C796D">
      <w:pPr>
        <w:rPr>
          <w:rFonts w:ascii="Garamond" w:eastAsia="Times New Roman" w:hAnsi="Garamond"/>
          <w:bCs/>
          <w:strike/>
          <w:sz w:val="22"/>
          <w:szCs w:val="22"/>
          <w:lang w:val="en-US"/>
        </w:rPr>
      </w:pPr>
      <w:r w:rsidRPr="00272724">
        <w:rPr>
          <w:rFonts w:ascii="Garamond" w:eastAsia="Times New Roman" w:hAnsi="Garamond"/>
          <w:bCs/>
          <w:sz w:val="22"/>
          <w:szCs w:val="22"/>
          <w:lang w:val="en-US"/>
        </w:rPr>
        <w:br w:type="page"/>
      </w:r>
    </w:p>
    <w:p w:rsidR="009C796D" w:rsidRPr="00272724" w:rsidRDefault="009C796D" w:rsidP="009C796D">
      <w:pPr>
        <w:spacing w:line="23" w:lineRule="atLeast"/>
        <w:rPr>
          <w:rFonts w:ascii="Garamond" w:eastAsia="Times New Roman" w:hAnsi="Garamond"/>
          <w:b/>
          <w:bCs/>
          <w:szCs w:val="22"/>
          <w:lang w:val="en-US"/>
        </w:rPr>
      </w:pPr>
      <w:r w:rsidRPr="00272724">
        <w:rPr>
          <w:rFonts w:ascii="Garamond" w:eastAsia="Times New Roman" w:hAnsi="Garamond"/>
          <w:b/>
          <w:bCs/>
          <w:szCs w:val="22"/>
          <w:lang w:val="en-US"/>
        </w:rPr>
        <w:t>Table A7: Interest Rate Futures and Options Traded in Major Exchanges</w:t>
      </w:r>
    </w:p>
    <w:p w:rsidR="009C796D" w:rsidRPr="00272724" w:rsidRDefault="009C796D" w:rsidP="009C796D">
      <w:pPr>
        <w:spacing w:line="23" w:lineRule="atLeast"/>
        <w:jc w:val="right"/>
        <w:rPr>
          <w:rFonts w:ascii="Garamond" w:eastAsia="Times New Roman" w:hAnsi="Garamond"/>
          <w:bCs/>
          <w:sz w:val="22"/>
          <w:szCs w:val="22"/>
          <w:lang w:val="en-US"/>
        </w:rPr>
      </w:pPr>
      <w:r w:rsidRPr="00272724">
        <w:rPr>
          <w:rFonts w:ascii="Garamond" w:hAnsi="Garamond"/>
          <w:bCs/>
          <w:sz w:val="22"/>
          <w:szCs w:val="22"/>
        </w:rPr>
        <w:t>Notional Turnover in (USD million)</w:t>
      </w:r>
    </w:p>
    <w:tbl>
      <w:tblPr>
        <w:tblW w:w="10324" w:type="dxa"/>
        <w:tblLook w:val="04A0" w:firstRow="1" w:lastRow="0" w:firstColumn="1" w:lastColumn="0" w:noHBand="0" w:noVBand="1"/>
      </w:tblPr>
      <w:tblGrid>
        <w:gridCol w:w="3589"/>
        <w:gridCol w:w="1151"/>
        <w:gridCol w:w="1116"/>
        <w:gridCol w:w="1118"/>
        <w:gridCol w:w="1116"/>
        <w:gridCol w:w="1116"/>
        <w:gridCol w:w="1118"/>
      </w:tblGrid>
      <w:tr w:rsidR="009C796D" w:rsidRPr="002518BB" w:rsidTr="00BB5AE6">
        <w:trPr>
          <w:trHeight w:val="231"/>
        </w:trPr>
        <w:tc>
          <w:tcPr>
            <w:tcW w:w="3618"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Exchange</w:t>
            </w:r>
          </w:p>
        </w:tc>
        <w:tc>
          <w:tcPr>
            <w:tcW w:w="6706" w:type="dxa"/>
            <w:gridSpan w:val="6"/>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Oct-20</w:t>
            </w:r>
          </w:p>
        </w:tc>
      </w:tr>
      <w:tr w:rsidR="009C796D" w:rsidRPr="002518BB" w:rsidTr="00BB5AE6">
        <w:trPr>
          <w:trHeight w:val="231"/>
        </w:trPr>
        <w:tc>
          <w:tcPr>
            <w:tcW w:w="3618" w:type="dxa"/>
            <w:vMerge/>
            <w:tcBorders>
              <w:top w:val="single" w:sz="4" w:space="0" w:color="auto"/>
              <w:left w:val="single" w:sz="4" w:space="0" w:color="auto"/>
              <w:bottom w:val="single" w:sz="4" w:space="0" w:color="auto"/>
              <w:right w:val="single" w:sz="4"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3353" w:type="dxa"/>
            <w:gridSpan w:val="3"/>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Interest Rate Futures</w:t>
            </w:r>
          </w:p>
        </w:tc>
        <w:tc>
          <w:tcPr>
            <w:tcW w:w="3353" w:type="dxa"/>
            <w:gridSpan w:val="3"/>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Interest Rate Options</w:t>
            </w:r>
          </w:p>
        </w:tc>
      </w:tr>
      <w:tr w:rsidR="009C796D" w:rsidRPr="002518BB" w:rsidTr="00BB5AE6">
        <w:trPr>
          <w:trHeight w:val="602"/>
        </w:trPr>
        <w:tc>
          <w:tcPr>
            <w:tcW w:w="3618" w:type="dxa"/>
            <w:vMerge/>
            <w:tcBorders>
              <w:top w:val="single" w:sz="4" w:space="0" w:color="auto"/>
              <w:left w:val="single" w:sz="4" w:space="0" w:color="auto"/>
              <w:bottom w:val="single" w:sz="4" w:space="0" w:color="auto"/>
              <w:right w:val="single" w:sz="4"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1117"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Number of</w:t>
            </w:r>
            <w:r w:rsidRPr="007F7CF7">
              <w:rPr>
                <w:rFonts w:ascii="Garamond" w:eastAsia="Times New Roman" w:hAnsi="Garamond" w:cs="Calibri"/>
                <w:b/>
                <w:bCs/>
                <w:color w:val="000000"/>
                <w:sz w:val="20"/>
                <w:szCs w:val="20"/>
                <w:lang w:val="en-IN" w:eastAsia="en-IN" w:bidi="hi-IN"/>
              </w:rPr>
              <w:br/>
              <w:t>Contracts Traded</w:t>
            </w:r>
          </w:p>
        </w:tc>
        <w:tc>
          <w:tcPr>
            <w:tcW w:w="1117"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Notional</w:t>
            </w:r>
            <w:r w:rsidRPr="007F7CF7">
              <w:rPr>
                <w:rFonts w:ascii="Garamond" w:eastAsia="Times New Roman" w:hAnsi="Garamond" w:cs="Calibri"/>
                <w:b/>
                <w:bCs/>
                <w:color w:val="000000"/>
                <w:sz w:val="20"/>
                <w:szCs w:val="20"/>
                <w:lang w:val="en-IN" w:eastAsia="en-IN" w:bidi="hi-IN"/>
              </w:rPr>
              <w:br/>
              <w:t>Turnover</w:t>
            </w:r>
          </w:p>
        </w:tc>
        <w:tc>
          <w:tcPr>
            <w:tcW w:w="1117"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Open</w:t>
            </w:r>
            <w:r w:rsidRPr="007F7CF7">
              <w:rPr>
                <w:rFonts w:ascii="Garamond" w:eastAsia="Times New Roman" w:hAnsi="Garamond" w:cs="Calibri"/>
                <w:b/>
                <w:bCs/>
                <w:color w:val="000000"/>
                <w:sz w:val="20"/>
                <w:szCs w:val="20"/>
                <w:lang w:val="en-IN" w:eastAsia="en-IN" w:bidi="hi-IN"/>
              </w:rPr>
              <w:br/>
              <w:t>Interest</w:t>
            </w:r>
          </w:p>
        </w:tc>
        <w:tc>
          <w:tcPr>
            <w:tcW w:w="1117"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Number of</w:t>
            </w:r>
            <w:r w:rsidRPr="007F7CF7">
              <w:rPr>
                <w:rFonts w:ascii="Garamond" w:eastAsia="Times New Roman" w:hAnsi="Garamond" w:cs="Calibri"/>
                <w:b/>
                <w:bCs/>
                <w:color w:val="000000"/>
                <w:sz w:val="20"/>
                <w:szCs w:val="20"/>
                <w:lang w:val="en-IN" w:eastAsia="en-IN" w:bidi="hi-IN"/>
              </w:rPr>
              <w:br/>
              <w:t>Contracts Traded</w:t>
            </w:r>
          </w:p>
        </w:tc>
        <w:tc>
          <w:tcPr>
            <w:tcW w:w="1117"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Notional</w:t>
            </w:r>
            <w:r w:rsidRPr="007F7CF7">
              <w:rPr>
                <w:rFonts w:ascii="Garamond" w:eastAsia="Times New Roman" w:hAnsi="Garamond" w:cs="Calibri"/>
                <w:b/>
                <w:bCs/>
                <w:color w:val="000000"/>
                <w:sz w:val="20"/>
                <w:szCs w:val="20"/>
                <w:lang w:val="en-IN" w:eastAsia="en-IN" w:bidi="hi-IN"/>
              </w:rPr>
              <w:br/>
              <w:t>Turnover</w:t>
            </w:r>
          </w:p>
        </w:tc>
        <w:tc>
          <w:tcPr>
            <w:tcW w:w="1117"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Open</w:t>
            </w:r>
            <w:r w:rsidRPr="007F7CF7">
              <w:rPr>
                <w:rFonts w:ascii="Garamond" w:eastAsia="Times New Roman" w:hAnsi="Garamond" w:cs="Calibri"/>
                <w:b/>
                <w:bCs/>
                <w:color w:val="000000"/>
                <w:sz w:val="20"/>
                <w:szCs w:val="20"/>
                <w:lang w:val="en-IN" w:eastAsia="en-IN" w:bidi="hi-IN"/>
              </w:rPr>
              <w:br/>
              <w:t>Interest</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B3 - Brasil Bolsa Balcão</w:t>
            </w:r>
          </w:p>
        </w:tc>
        <w:tc>
          <w:tcPr>
            <w:tcW w:w="1117" w:type="dxa"/>
            <w:tcBorders>
              <w:top w:val="single" w:sz="8" w:space="0" w:color="auto"/>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46,529,476</w:t>
            </w:r>
          </w:p>
        </w:tc>
        <w:tc>
          <w:tcPr>
            <w:tcW w:w="1117"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1,033,038</w:t>
            </w:r>
          </w:p>
        </w:tc>
        <w:tc>
          <w:tcPr>
            <w:tcW w:w="1117"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29,555,913</w:t>
            </w:r>
          </w:p>
        </w:tc>
        <w:tc>
          <w:tcPr>
            <w:tcW w:w="1117"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12,181,486</w:t>
            </w:r>
          </w:p>
        </w:tc>
        <w:tc>
          <w:tcPr>
            <w:tcW w:w="1117"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663</w:t>
            </w:r>
          </w:p>
        </w:tc>
        <w:tc>
          <w:tcPr>
            <w:tcW w:w="1117"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43,014,545</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de Valores de Colombia</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6,519</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474</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10,770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Bolsa Mexicana de Valores</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2,300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6,900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CME Group</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90,906,763</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42,196,838</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23,188,253</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24,544,592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11,438,162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35,293,870</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ASX Australian Securities Exchange</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8,818,130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1,457,797</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3,852,520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6,146</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432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6,336</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BSE India Limited</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Japan Exchange Group</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584,979</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71,251</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30,342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4,556</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Korea Exchange</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2,809,962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298,402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574,830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National Stock Exchange of India</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294,052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801</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81,092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Singapore Exchange</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23,412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13,528</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China Financial Futures Exchange</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1,424,298</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226,847</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204,167</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Deutsche Boerse AG</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36,885,904</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6,501,954</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5,049,043</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3,187,890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585,610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1,408,743</w:t>
            </w:r>
          </w:p>
        </w:tc>
      </w:tr>
      <w:tr w:rsidR="009C796D" w:rsidRPr="002518BB" w:rsidTr="00BB5AE6">
        <w:trPr>
          <w:trHeight w:val="231"/>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Moscow Exchange</w:t>
            </w:r>
          </w:p>
        </w:tc>
        <w:tc>
          <w:tcPr>
            <w:tcW w:w="1117"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4,263</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33,910</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43"/>
        </w:trPr>
        <w:tc>
          <w:tcPr>
            <w:tcW w:w="3618"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Nasdaq Nordic and Baltics</w:t>
            </w:r>
          </w:p>
        </w:tc>
        <w:tc>
          <w:tcPr>
            <w:tcW w:w="1117" w:type="dxa"/>
            <w:tcBorders>
              <w:top w:val="nil"/>
              <w:left w:val="single" w:sz="8" w:space="0" w:color="auto"/>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197,916</w:t>
            </w:r>
          </w:p>
        </w:tc>
        <w:tc>
          <w:tcPr>
            <w:tcW w:w="1117"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22,247</w:t>
            </w:r>
          </w:p>
        </w:tc>
        <w:tc>
          <w:tcPr>
            <w:tcW w:w="1117"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851,504</w:t>
            </w:r>
          </w:p>
        </w:tc>
        <w:tc>
          <w:tcPr>
            <w:tcW w:w="1117"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411,345</w:t>
            </w:r>
          </w:p>
        </w:tc>
        <w:tc>
          <w:tcPr>
            <w:tcW w:w="1117"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46,238</w:t>
            </w:r>
          </w:p>
        </w:tc>
        <w:tc>
          <w:tcPr>
            <w:tcW w:w="1117"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r>
      <w:tr w:rsidR="009C796D" w:rsidRPr="002518BB" w:rsidTr="00BB5AE6">
        <w:trPr>
          <w:trHeight w:val="243"/>
        </w:trPr>
        <w:tc>
          <w:tcPr>
            <w:tcW w:w="3618" w:type="dxa"/>
            <w:tcBorders>
              <w:top w:val="single" w:sz="8" w:space="0" w:color="auto"/>
              <w:left w:val="single" w:sz="8" w:space="0" w:color="auto"/>
              <w:bottom w:val="single" w:sz="8" w:space="0" w:color="auto"/>
              <w:right w:val="single" w:sz="4" w:space="0" w:color="auto"/>
            </w:tcBorders>
            <w:shd w:val="clear" w:color="000000" w:fill="D9E1F2"/>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Grand Total</w:t>
            </w:r>
          </w:p>
        </w:tc>
        <w:tc>
          <w:tcPr>
            <w:tcW w:w="1117"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188,487,974</w:t>
            </w:r>
          </w:p>
        </w:tc>
        <w:tc>
          <w:tcPr>
            <w:tcW w:w="1117"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51,738,412</w:t>
            </w:r>
          </w:p>
        </w:tc>
        <w:tc>
          <w:tcPr>
            <w:tcW w:w="1117"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63,493,681</w:t>
            </w:r>
          </w:p>
        </w:tc>
        <w:tc>
          <w:tcPr>
            <w:tcW w:w="1117"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40,361,801</w:t>
            </w:r>
          </w:p>
        </w:tc>
        <w:tc>
          <w:tcPr>
            <w:tcW w:w="1117"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12,071,106</w:t>
            </w:r>
          </w:p>
        </w:tc>
        <w:tc>
          <w:tcPr>
            <w:tcW w:w="1117"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79,728,050</w:t>
            </w:r>
          </w:p>
        </w:tc>
      </w:tr>
    </w:tbl>
    <w:p w:rsidR="009C796D" w:rsidRPr="00272724" w:rsidRDefault="009C796D" w:rsidP="009C796D">
      <w:pPr>
        <w:spacing w:line="23" w:lineRule="atLeast"/>
        <w:rPr>
          <w:rFonts w:ascii="Garamond" w:eastAsia="Times New Roman" w:hAnsi="Garamond"/>
          <w:bCs/>
          <w:sz w:val="18"/>
          <w:szCs w:val="18"/>
          <w:lang w:val="en-US"/>
        </w:rPr>
      </w:pPr>
      <w:r w:rsidRPr="00272724">
        <w:rPr>
          <w:rFonts w:ascii="Garamond" w:eastAsia="Times New Roman" w:hAnsi="Garamond"/>
          <w:bCs/>
          <w:sz w:val="18"/>
          <w:szCs w:val="18"/>
          <w:lang w:val="en-US"/>
        </w:rPr>
        <w:tab/>
      </w:r>
    </w:p>
    <w:p w:rsidR="009C796D" w:rsidRPr="00272724" w:rsidRDefault="009C796D" w:rsidP="009C796D">
      <w:pPr>
        <w:spacing w:line="23" w:lineRule="atLeast"/>
        <w:jc w:val="both"/>
        <w:rPr>
          <w:rFonts w:ascii="Garamond" w:hAnsi="Garamond"/>
          <w:bCs/>
          <w:sz w:val="18"/>
          <w:szCs w:val="18"/>
        </w:rPr>
      </w:pPr>
      <w:r w:rsidRPr="00272724">
        <w:rPr>
          <w:rFonts w:ascii="Garamond" w:hAnsi="Garamond"/>
          <w:bCs/>
          <w:sz w:val="18"/>
          <w:szCs w:val="18"/>
        </w:rPr>
        <w:t>NA: Not Available</w:t>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9C796D" w:rsidRPr="00272724" w:rsidRDefault="009C796D" w:rsidP="009C796D">
      <w:pPr>
        <w:rPr>
          <w:rFonts w:ascii="Garamond" w:eastAsia="Times New Roman" w:hAnsi="Garamond"/>
          <w:bCs/>
          <w:sz w:val="22"/>
          <w:szCs w:val="22"/>
          <w:lang w:val="en-US"/>
        </w:rPr>
      </w:pPr>
    </w:p>
    <w:p w:rsidR="009C796D" w:rsidRPr="00272724" w:rsidRDefault="009C796D" w:rsidP="009C796D">
      <w:pPr>
        <w:rPr>
          <w:rFonts w:ascii="Garamond" w:eastAsia="Times New Roman" w:hAnsi="Garamond"/>
          <w:bCs/>
          <w:sz w:val="22"/>
          <w:szCs w:val="22"/>
          <w:lang w:val="en-US"/>
        </w:rPr>
      </w:pPr>
      <w:r w:rsidRPr="00272724">
        <w:rPr>
          <w:rFonts w:ascii="Garamond" w:eastAsia="Times New Roman" w:hAnsi="Garamond"/>
          <w:bCs/>
          <w:sz w:val="22"/>
          <w:szCs w:val="22"/>
          <w:lang w:val="en-US"/>
        </w:rPr>
        <w:br w:type="page"/>
      </w:r>
    </w:p>
    <w:p w:rsidR="009C796D" w:rsidRPr="00272724" w:rsidRDefault="009C796D" w:rsidP="009C796D">
      <w:pPr>
        <w:spacing w:line="23" w:lineRule="atLeast"/>
        <w:rPr>
          <w:rFonts w:ascii="Garamond" w:hAnsi="Garamond"/>
          <w:b/>
          <w:bCs/>
          <w:szCs w:val="22"/>
        </w:rPr>
      </w:pPr>
      <w:r w:rsidRPr="00272724">
        <w:rPr>
          <w:rFonts w:ascii="Garamond" w:eastAsia="Times New Roman" w:hAnsi="Garamond"/>
          <w:b/>
          <w:bCs/>
          <w:szCs w:val="22"/>
          <w:lang w:val="en-US"/>
        </w:rPr>
        <w:t>Table A8: Commodity Futures and Options Traded in Major Exchanges</w:t>
      </w:r>
    </w:p>
    <w:p w:rsidR="009C796D" w:rsidRPr="00272724" w:rsidRDefault="009C796D" w:rsidP="009C796D">
      <w:pPr>
        <w:spacing w:line="23" w:lineRule="atLeast"/>
        <w:ind w:right="348"/>
        <w:jc w:val="right"/>
        <w:rPr>
          <w:rFonts w:ascii="Garamond" w:hAnsi="Garamond"/>
          <w:bCs/>
          <w:sz w:val="22"/>
          <w:szCs w:val="22"/>
        </w:rPr>
      </w:pPr>
      <w:r w:rsidRPr="00272724">
        <w:rPr>
          <w:rFonts w:ascii="Garamond" w:hAnsi="Garamond"/>
          <w:bCs/>
          <w:sz w:val="22"/>
          <w:szCs w:val="22"/>
        </w:rPr>
        <w:t>Notional Turnover in (USD million)</w:t>
      </w:r>
    </w:p>
    <w:tbl>
      <w:tblPr>
        <w:tblW w:w="10255" w:type="dxa"/>
        <w:tblLook w:val="04A0" w:firstRow="1" w:lastRow="0" w:firstColumn="1" w:lastColumn="0" w:noHBand="0" w:noVBand="1"/>
      </w:tblPr>
      <w:tblGrid>
        <w:gridCol w:w="3546"/>
        <w:gridCol w:w="1164"/>
        <w:gridCol w:w="1109"/>
        <w:gridCol w:w="1109"/>
        <w:gridCol w:w="1109"/>
        <w:gridCol w:w="1108"/>
        <w:gridCol w:w="1110"/>
      </w:tblGrid>
      <w:tr w:rsidR="009C796D" w:rsidRPr="002518BB" w:rsidTr="00BB5AE6">
        <w:trPr>
          <w:trHeight w:val="225"/>
        </w:trPr>
        <w:tc>
          <w:tcPr>
            <w:tcW w:w="3594"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Exchange</w:t>
            </w:r>
          </w:p>
        </w:tc>
        <w:tc>
          <w:tcPr>
            <w:tcW w:w="6661" w:type="dxa"/>
            <w:gridSpan w:val="6"/>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Oct-20</w:t>
            </w:r>
          </w:p>
        </w:tc>
      </w:tr>
      <w:tr w:rsidR="009C796D" w:rsidRPr="002518BB" w:rsidTr="00BB5AE6">
        <w:trPr>
          <w:trHeight w:val="225"/>
        </w:trPr>
        <w:tc>
          <w:tcPr>
            <w:tcW w:w="3594" w:type="dxa"/>
            <w:vMerge/>
            <w:tcBorders>
              <w:top w:val="single" w:sz="4" w:space="0" w:color="auto"/>
              <w:left w:val="single" w:sz="4" w:space="0" w:color="auto"/>
              <w:bottom w:val="single" w:sz="4" w:space="0" w:color="auto"/>
              <w:right w:val="single" w:sz="4"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3330" w:type="dxa"/>
            <w:gridSpan w:val="3"/>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Commodities Futures</w:t>
            </w:r>
          </w:p>
        </w:tc>
        <w:tc>
          <w:tcPr>
            <w:tcW w:w="3330" w:type="dxa"/>
            <w:gridSpan w:val="3"/>
            <w:tcBorders>
              <w:top w:val="single" w:sz="4" w:space="0" w:color="auto"/>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Commodities Options</w:t>
            </w:r>
          </w:p>
        </w:tc>
      </w:tr>
      <w:tr w:rsidR="009C796D" w:rsidRPr="002518BB" w:rsidTr="00BB5AE6">
        <w:trPr>
          <w:trHeight w:val="587"/>
        </w:trPr>
        <w:tc>
          <w:tcPr>
            <w:tcW w:w="3594" w:type="dxa"/>
            <w:vMerge/>
            <w:tcBorders>
              <w:top w:val="single" w:sz="4" w:space="0" w:color="auto"/>
              <w:left w:val="single" w:sz="4" w:space="0" w:color="auto"/>
              <w:bottom w:val="single" w:sz="4" w:space="0" w:color="auto"/>
              <w:right w:val="single" w:sz="4" w:space="0" w:color="auto"/>
            </w:tcBorders>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p>
        </w:tc>
        <w:tc>
          <w:tcPr>
            <w:tcW w:w="1110"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Number of</w:t>
            </w:r>
            <w:r w:rsidRPr="007F7CF7">
              <w:rPr>
                <w:rFonts w:ascii="Garamond" w:eastAsia="Times New Roman" w:hAnsi="Garamond" w:cs="Calibri"/>
                <w:b/>
                <w:bCs/>
                <w:color w:val="000000"/>
                <w:sz w:val="20"/>
                <w:szCs w:val="20"/>
                <w:lang w:val="en-IN" w:eastAsia="en-IN" w:bidi="hi-IN"/>
              </w:rPr>
              <w:br/>
              <w:t>Contracts Traded</w:t>
            </w:r>
          </w:p>
        </w:tc>
        <w:tc>
          <w:tcPr>
            <w:tcW w:w="1110"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Notional</w:t>
            </w:r>
            <w:r w:rsidRPr="007F7CF7">
              <w:rPr>
                <w:rFonts w:ascii="Garamond" w:eastAsia="Times New Roman" w:hAnsi="Garamond" w:cs="Calibri"/>
                <w:b/>
                <w:bCs/>
                <w:color w:val="000000"/>
                <w:sz w:val="20"/>
                <w:szCs w:val="20"/>
                <w:lang w:val="en-IN" w:eastAsia="en-IN" w:bidi="hi-IN"/>
              </w:rPr>
              <w:br/>
              <w:t>Turnover</w:t>
            </w:r>
          </w:p>
        </w:tc>
        <w:tc>
          <w:tcPr>
            <w:tcW w:w="1110"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Open</w:t>
            </w:r>
            <w:r w:rsidRPr="007F7CF7">
              <w:rPr>
                <w:rFonts w:ascii="Garamond" w:eastAsia="Times New Roman" w:hAnsi="Garamond" w:cs="Calibri"/>
                <w:b/>
                <w:bCs/>
                <w:color w:val="000000"/>
                <w:sz w:val="20"/>
                <w:szCs w:val="20"/>
                <w:lang w:val="en-IN" w:eastAsia="en-IN" w:bidi="hi-IN"/>
              </w:rPr>
              <w:br/>
              <w:t>Interest</w:t>
            </w:r>
          </w:p>
        </w:tc>
        <w:tc>
          <w:tcPr>
            <w:tcW w:w="1110"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Number of</w:t>
            </w:r>
            <w:r w:rsidRPr="007F7CF7">
              <w:rPr>
                <w:rFonts w:ascii="Garamond" w:eastAsia="Times New Roman" w:hAnsi="Garamond" w:cs="Calibri"/>
                <w:b/>
                <w:bCs/>
                <w:color w:val="000000"/>
                <w:sz w:val="20"/>
                <w:szCs w:val="20"/>
                <w:lang w:val="en-IN" w:eastAsia="en-IN" w:bidi="hi-IN"/>
              </w:rPr>
              <w:br/>
              <w:t>Contracts Traded</w:t>
            </w:r>
          </w:p>
        </w:tc>
        <w:tc>
          <w:tcPr>
            <w:tcW w:w="1110"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Notional</w:t>
            </w:r>
            <w:r w:rsidRPr="007F7CF7">
              <w:rPr>
                <w:rFonts w:ascii="Garamond" w:eastAsia="Times New Roman" w:hAnsi="Garamond" w:cs="Calibri"/>
                <w:b/>
                <w:bCs/>
                <w:color w:val="000000"/>
                <w:sz w:val="20"/>
                <w:szCs w:val="20"/>
                <w:lang w:val="en-IN" w:eastAsia="en-IN" w:bidi="hi-IN"/>
              </w:rPr>
              <w:br/>
              <w:t>Turnover</w:t>
            </w:r>
          </w:p>
        </w:tc>
        <w:tc>
          <w:tcPr>
            <w:tcW w:w="1110" w:type="dxa"/>
            <w:tcBorders>
              <w:top w:val="nil"/>
              <w:left w:val="nil"/>
              <w:bottom w:val="single" w:sz="4" w:space="0" w:color="auto"/>
              <w:right w:val="single" w:sz="4" w:space="0" w:color="auto"/>
            </w:tcBorders>
            <w:shd w:val="clear" w:color="000000" w:fill="B4C6E7"/>
            <w:vAlign w:val="center"/>
            <w:hideMark/>
          </w:tcPr>
          <w:p w:rsidR="009C796D" w:rsidRPr="007F7CF7" w:rsidRDefault="009C796D" w:rsidP="00BB5AE6">
            <w:pPr>
              <w:jc w:val="cente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Open</w:t>
            </w:r>
            <w:r w:rsidRPr="007F7CF7">
              <w:rPr>
                <w:rFonts w:ascii="Garamond" w:eastAsia="Times New Roman" w:hAnsi="Garamond" w:cs="Calibri"/>
                <w:b/>
                <w:bCs/>
                <w:color w:val="000000"/>
                <w:sz w:val="20"/>
                <w:szCs w:val="20"/>
                <w:lang w:val="en-IN" w:eastAsia="en-IN" w:bidi="hi-IN"/>
              </w:rPr>
              <w:br/>
              <w:t>Interest</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B3 - Brasil Bolsa Balcão</w:t>
            </w:r>
          </w:p>
        </w:tc>
        <w:tc>
          <w:tcPr>
            <w:tcW w:w="1110" w:type="dxa"/>
            <w:tcBorders>
              <w:top w:val="single" w:sz="8" w:space="0" w:color="auto"/>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340,270</w:t>
            </w:r>
          </w:p>
        </w:tc>
        <w:tc>
          <w:tcPr>
            <w:tcW w:w="1110"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3,001</w:t>
            </w:r>
          </w:p>
        </w:tc>
        <w:tc>
          <w:tcPr>
            <w:tcW w:w="1110"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87,896</w:t>
            </w:r>
          </w:p>
        </w:tc>
        <w:tc>
          <w:tcPr>
            <w:tcW w:w="1110"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107,850</w:t>
            </w:r>
          </w:p>
        </w:tc>
        <w:tc>
          <w:tcPr>
            <w:tcW w:w="1110"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53</w:t>
            </w:r>
          </w:p>
        </w:tc>
        <w:tc>
          <w:tcPr>
            <w:tcW w:w="1110" w:type="dxa"/>
            <w:tcBorders>
              <w:top w:val="single" w:sz="8" w:space="0" w:color="auto"/>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89,745</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Matba Rofex</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113,168</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1,814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61,279</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15,909</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27</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21,251</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CME Group</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75,538,373</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3,652,114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14,008,483</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14,232,453</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629,086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10,680,997</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ASX Australian Securities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83,196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2,304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136,283</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7,354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1,417</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48,854</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Hong Kong Exchanges and Clearing</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35,586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802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2,376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National Stock Exchange of India</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279</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36,201</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249</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4,333</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NZX Limited</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22,082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129</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48,351</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10,410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22,700</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Singapore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1,322,047</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877,916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207,925</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825,716</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Taiwan Futures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15,799</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323</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2,070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1,840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21</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129</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Thailand Futures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719,220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55,074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Bursa Malaysia Derivatives</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1,257,873</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21,564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203,730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4,050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14,500</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Zhengzhou Commodity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148,470,232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833,579</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7,820,655</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4,600,452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1,042,830</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Dalian Commodity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168,337,676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1,331,881</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9,565,216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5,073,702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652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1,414,563</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Multi Commodity Exchange of India</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17,451,703</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93,710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168,203</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94,074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1,330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9,650</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Shanghai Futures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139,414,708</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1,707,608</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7,098,056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Indian Commodity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Borsa Istanbul</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11,961,774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3,676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1,858,802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Deutsche Boerse AG</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548,050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22,018</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1,808,637</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169,702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799</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393,120</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Euronext</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1,926,602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25,522</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671,298</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234,790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2,921</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298,660</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LSE Group</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65</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Moscow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65,743,246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27,860</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2,430,034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659,086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273</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134,556</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Dubai Gold and Commodities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16,576</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251</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1,518</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2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London Metal Exchange</w:t>
            </w:r>
          </w:p>
        </w:tc>
        <w:tc>
          <w:tcPr>
            <w:tcW w:w="1110" w:type="dxa"/>
            <w:tcBorders>
              <w:top w:val="nil"/>
              <w:left w:val="single" w:sz="8" w:space="0" w:color="auto"/>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11,066,768</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969,298</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1,990,288</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477,695</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51,154</w:t>
            </w:r>
          </w:p>
        </w:tc>
        <w:tc>
          <w:tcPr>
            <w:tcW w:w="1110" w:type="dxa"/>
            <w:tcBorders>
              <w:top w:val="nil"/>
              <w:left w:val="nil"/>
              <w:bottom w:val="nil"/>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365,724</w:t>
            </w:r>
          </w:p>
        </w:tc>
      </w:tr>
      <w:tr w:rsidR="009C796D" w:rsidRPr="002518BB" w:rsidTr="00BB5AE6">
        <w:trPr>
          <w:trHeight w:val="395"/>
        </w:trPr>
        <w:tc>
          <w:tcPr>
            <w:tcW w:w="3594" w:type="dxa"/>
            <w:tcBorders>
              <w:top w:val="nil"/>
              <w:left w:val="single" w:sz="4" w:space="0" w:color="auto"/>
              <w:bottom w:val="nil"/>
              <w:right w:val="nil"/>
            </w:tcBorders>
            <w:shd w:val="clear" w:color="000000" w:fill="B4C6E7"/>
            <w:vAlign w:val="center"/>
            <w:hideMark/>
          </w:tcPr>
          <w:p w:rsidR="009C796D" w:rsidRPr="007F7CF7" w:rsidRDefault="009C796D" w:rsidP="00BB5AE6">
            <w:pPr>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The Saint-Petersburg International Mercantile Exchange</w:t>
            </w:r>
          </w:p>
        </w:tc>
        <w:tc>
          <w:tcPr>
            <w:tcW w:w="1110" w:type="dxa"/>
            <w:tcBorders>
              <w:top w:val="nil"/>
              <w:left w:val="single" w:sz="8" w:space="0" w:color="auto"/>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4,242</w:t>
            </w:r>
          </w:p>
        </w:tc>
        <w:tc>
          <w:tcPr>
            <w:tcW w:w="1110"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18,365,122</w:t>
            </w:r>
          </w:p>
        </w:tc>
        <w:tc>
          <w:tcPr>
            <w:tcW w:w="1110"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 xml:space="preserve"> 3,192</w:t>
            </w:r>
          </w:p>
        </w:tc>
        <w:tc>
          <w:tcPr>
            <w:tcW w:w="1110"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c>
          <w:tcPr>
            <w:tcW w:w="1110" w:type="dxa"/>
            <w:tcBorders>
              <w:top w:val="nil"/>
              <w:left w:val="nil"/>
              <w:bottom w:val="single" w:sz="4" w:space="0" w:color="auto"/>
              <w:right w:val="single" w:sz="8" w:space="0" w:color="auto"/>
            </w:tcBorders>
            <w:shd w:val="clear" w:color="auto" w:fill="auto"/>
            <w:vAlign w:val="center"/>
            <w:hideMark/>
          </w:tcPr>
          <w:p w:rsidR="009C796D" w:rsidRPr="007F7CF7" w:rsidRDefault="009C796D" w:rsidP="00BB5AE6">
            <w:pPr>
              <w:jc w:val="right"/>
              <w:rPr>
                <w:rFonts w:ascii="Garamond" w:eastAsia="Times New Roman" w:hAnsi="Garamond" w:cs="Calibri"/>
                <w:color w:val="000000"/>
                <w:sz w:val="20"/>
                <w:szCs w:val="20"/>
                <w:lang w:val="en-IN" w:eastAsia="en-IN" w:bidi="hi-IN"/>
              </w:rPr>
            </w:pPr>
            <w:r w:rsidRPr="007F7CF7">
              <w:rPr>
                <w:rFonts w:ascii="Garamond" w:eastAsia="Times New Roman" w:hAnsi="Garamond" w:cs="Calibri"/>
                <w:color w:val="000000"/>
                <w:sz w:val="20"/>
                <w:szCs w:val="20"/>
                <w:lang w:val="en-IN" w:eastAsia="en-IN" w:bidi="hi-IN"/>
              </w:rPr>
              <w:t>NA</w:t>
            </w:r>
          </w:p>
        </w:tc>
      </w:tr>
      <w:tr w:rsidR="009C796D" w:rsidRPr="002518BB" w:rsidTr="00BB5AE6">
        <w:trPr>
          <w:trHeight w:val="237"/>
        </w:trPr>
        <w:tc>
          <w:tcPr>
            <w:tcW w:w="3594" w:type="dxa"/>
            <w:tcBorders>
              <w:top w:val="single" w:sz="8" w:space="0" w:color="auto"/>
              <w:left w:val="single" w:sz="8" w:space="0" w:color="auto"/>
              <w:bottom w:val="single" w:sz="8" w:space="0" w:color="auto"/>
              <w:right w:val="single" w:sz="4" w:space="0" w:color="auto"/>
            </w:tcBorders>
            <w:shd w:val="clear" w:color="000000" w:fill="D9E1F2"/>
            <w:vAlign w:val="center"/>
            <w:hideMark/>
          </w:tcPr>
          <w:p w:rsidR="009C796D" w:rsidRPr="007F7CF7" w:rsidRDefault="009C796D" w:rsidP="00BB5AE6">
            <w:pPr>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Grand Total</w:t>
            </w:r>
          </w:p>
        </w:tc>
        <w:tc>
          <w:tcPr>
            <w:tcW w:w="111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644,389,560</w:t>
            </w:r>
          </w:p>
        </w:tc>
        <w:tc>
          <w:tcPr>
            <w:tcW w:w="111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27,062,581</w:t>
            </w:r>
          </w:p>
        </w:tc>
        <w:tc>
          <w:tcPr>
            <w:tcW w:w="111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48,899,426</w:t>
            </w:r>
          </w:p>
        </w:tc>
        <w:tc>
          <w:tcPr>
            <w:tcW w:w="111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25,933,493</w:t>
            </w:r>
          </w:p>
        </w:tc>
        <w:tc>
          <w:tcPr>
            <w:tcW w:w="111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688,376</w:t>
            </w:r>
          </w:p>
        </w:tc>
        <w:tc>
          <w:tcPr>
            <w:tcW w:w="111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C796D" w:rsidRPr="007F7CF7" w:rsidRDefault="009C796D" w:rsidP="00BB5AE6">
            <w:pPr>
              <w:jc w:val="right"/>
              <w:rPr>
                <w:rFonts w:ascii="Garamond" w:eastAsia="Times New Roman" w:hAnsi="Garamond" w:cs="Calibri"/>
                <w:b/>
                <w:bCs/>
                <w:color w:val="000000"/>
                <w:sz w:val="20"/>
                <w:szCs w:val="20"/>
                <w:lang w:val="en-IN" w:eastAsia="en-IN" w:bidi="hi-IN"/>
              </w:rPr>
            </w:pPr>
            <w:r w:rsidRPr="007F7CF7">
              <w:rPr>
                <w:rFonts w:ascii="Garamond" w:eastAsia="Times New Roman" w:hAnsi="Garamond" w:cs="Calibri"/>
                <w:b/>
                <w:bCs/>
                <w:color w:val="000000"/>
                <w:sz w:val="20"/>
                <w:szCs w:val="20"/>
                <w:lang w:val="en-IN" w:eastAsia="en-IN" w:bidi="hi-IN"/>
              </w:rPr>
              <w:t xml:space="preserve"> 15,367,328</w:t>
            </w:r>
          </w:p>
        </w:tc>
      </w:tr>
    </w:tbl>
    <w:p w:rsidR="009C796D" w:rsidRPr="00272724" w:rsidRDefault="009C796D" w:rsidP="009C796D">
      <w:pPr>
        <w:spacing w:line="23" w:lineRule="atLeast"/>
        <w:rPr>
          <w:rFonts w:ascii="Garamond" w:hAnsi="Garamond"/>
          <w:bCs/>
          <w:sz w:val="18"/>
          <w:szCs w:val="18"/>
        </w:rPr>
      </w:pPr>
      <w:r w:rsidRPr="00272724">
        <w:rPr>
          <w:rFonts w:ascii="Garamond" w:hAnsi="Garamond"/>
          <w:bCs/>
          <w:sz w:val="18"/>
          <w:szCs w:val="18"/>
        </w:rPr>
        <w:t xml:space="preserve"> NA: Not Available, data for </w:t>
      </w:r>
      <w:r w:rsidRPr="00272724">
        <w:rPr>
          <w:rFonts w:ascii="Garamond" w:eastAsia="Times New Roman" w:hAnsi="Garamond" w:cs="Calibri"/>
          <w:color w:val="000000"/>
          <w:sz w:val="20"/>
          <w:szCs w:val="20"/>
          <w:lang w:val="en-IN" w:eastAsia="en-IN"/>
        </w:rPr>
        <w:t>Indian Commodity Exchange was not updated till the time of finalization of this report.</w:t>
      </w:r>
    </w:p>
    <w:p w:rsidR="009C796D" w:rsidRPr="00272724" w:rsidRDefault="009C796D" w:rsidP="009C796D">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9C796D" w:rsidRDefault="009C796D">
      <w:pPr>
        <w:rPr>
          <w:rFonts w:ascii="Times New Roman" w:hAnsi="Times New Roman"/>
          <w:bCs/>
          <w:sz w:val="18"/>
          <w:szCs w:val="18"/>
        </w:rPr>
      </w:pPr>
      <w:r>
        <w:rPr>
          <w:rFonts w:ascii="Times New Roman" w:hAnsi="Times New Roman"/>
          <w:bCs/>
          <w:sz w:val="18"/>
          <w:szCs w:val="18"/>
        </w:rPr>
        <w:br w:type="page"/>
      </w:r>
    </w:p>
    <w:p w:rsidR="009C796D" w:rsidRPr="00272724" w:rsidRDefault="009C796D" w:rsidP="009C796D">
      <w:pPr>
        <w:spacing w:line="23" w:lineRule="atLeast"/>
        <w:jc w:val="both"/>
        <w:rPr>
          <w:rFonts w:ascii="Garamond" w:hAnsi="Garamond"/>
          <w:b/>
          <w:bCs/>
          <w:szCs w:val="22"/>
        </w:rPr>
      </w:pPr>
      <w:r w:rsidRPr="00272724">
        <w:rPr>
          <w:rFonts w:ascii="Garamond" w:hAnsi="Garamond"/>
          <w:b/>
          <w:bCs/>
          <w:szCs w:val="22"/>
        </w:rPr>
        <w:t>Table A9: Major Foreign Holders of US Treasury Securities (USD billion)</w:t>
      </w:r>
    </w:p>
    <w:tbl>
      <w:tblPr>
        <w:tblW w:w="10454" w:type="dxa"/>
        <w:tblInd w:w="118" w:type="dxa"/>
        <w:tblLook w:val="04A0" w:firstRow="1" w:lastRow="0" w:firstColumn="1" w:lastColumn="0" w:noHBand="0" w:noVBand="1"/>
      </w:tblPr>
      <w:tblGrid>
        <w:gridCol w:w="1665"/>
        <w:gridCol w:w="799"/>
        <w:gridCol w:w="799"/>
        <w:gridCol w:w="799"/>
        <w:gridCol w:w="799"/>
        <w:gridCol w:w="799"/>
        <w:gridCol w:w="799"/>
        <w:gridCol w:w="799"/>
        <w:gridCol w:w="799"/>
        <w:gridCol w:w="799"/>
        <w:gridCol w:w="799"/>
        <w:gridCol w:w="799"/>
      </w:tblGrid>
      <w:tr w:rsidR="009C796D" w:rsidRPr="00290C87" w:rsidTr="00BB5AE6">
        <w:trPr>
          <w:trHeight w:val="281"/>
        </w:trPr>
        <w:tc>
          <w:tcPr>
            <w:tcW w:w="1665" w:type="dxa"/>
            <w:vMerge w:val="restart"/>
            <w:tcBorders>
              <w:top w:val="single" w:sz="8" w:space="0" w:color="auto"/>
              <w:left w:val="single" w:sz="8" w:space="0" w:color="auto"/>
              <w:bottom w:val="nil"/>
              <w:right w:val="single" w:sz="4" w:space="0" w:color="000000"/>
            </w:tcBorders>
            <w:shd w:val="clear" w:color="auto" w:fill="auto"/>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Country/ Month</w:t>
            </w:r>
          </w:p>
        </w:tc>
        <w:tc>
          <w:tcPr>
            <w:tcW w:w="799" w:type="dxa"/>
            <w:tcBorders>
              <w:top w:val="single" w:sz="8" w:space="0" w:color="auto"/>
              <w:left w:val="single" w:sz="8" w:space="0" w:color="auto"/>
              <w:bottom w:val="single" w:sz="8" w:space="0" w:color="auto"/>
              <w:right w:val="nil"/>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2019</w:t>
            </w:r>
          </w:p>
        </w:tc>
        <w:tc>
          <w:tcPr>
            <w:tcW w:w="799" w:type="dxa"/>
            <w:tcBorders>
              <w:top w:val="single" w:sz="8" w:space="0" w:color="auto"/>
              <w:left w:val="single" w:sz="8" w:space="0" w:color="auto"/>
              <w:bottom w:val="single" w:sz="8" w:space="0" w:color="auto"/>
              <w:right w:val="nil"/>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single" w:sz="8" w:space="0" w:color="auto"/>
              <w:left w:val="nil"/>
              <w:bottom w:val="single" w:sz="8" w:space="0" w:color="auto"/>
              <w:right w:val="nil"/>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single" w:sz="8" w:space="0" w:color="auto"/>
              <w:left w:val="nil"/>
              <w:bottom w:val="single" w:sz="8" w:space="0" w:color="auto"/>
              <w:right w:val="nil"/>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single" w:sz="8" w:space="0" w:color="auto"/>
              <w:left w:val="nil"/>
              <w:bottom w:val="single" w:sz="8" w:space="0" w:color="auto"/>
              <w:right w:val="nil"/>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single" w:sz="8" w:space="0" w:color="auto"/>
              <w:left w:val="nil"/>
              <w:bottom w:val="single" w:sz="8" w:space="0" w:color="auto"/>
              <w:right w:val="nil"/>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2020</w:t>
            </w:r>
          </w:p>
        </w:tc>
        <w:tc>
          <w:tcPr>
            <w:tcW w:w="799" w:type="dxa"/>
            <w:tcBorders>
              <w:top w:val="single" w:sz="8" w:space="0" w:color="auto"/>
              <w:left w:val="nil"/>
              <w:bottom w:val="single" w:sz="8" w:space="0" w:color="auto"/>
              <w:right w:val="nil"/>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single" w:sz="8" w:space="0" w:color="auto"/>
              <w:left w:val="nil"/>
              <w:bottom w:val="single" w:sz="8" w:space="0" w:color="auto"/>
              <w:right w:val="nil"/>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single" w:sz="8" w:space="0" w:color="auto"/>
              <w:left w:val="nil"/>
              <w:bottom w:val="single" w:sz="8" w:space="0" w:color="auto"/>
              <w:right w:val="nil"/>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single" w:sz="8" w:space="0" w:color="auto"/>
              <w:left w:val="nil"/>
              <w:bottom w:val="single" w:sz="8" w:space="0" w:color="auto"/>
              <w:right w:val="nil"/>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single" w:sz="8" w:space="0" w:color="auto"/>
              <w:left w:val="nil"/>
              <w:bottom w:val="single" w:sz="8" w:space="0" w:color="auto"/>
              <w:right w:val="single" w:sz="8" w:space="0" w:color="auto"/>
            </w:tcBorders>
            <w:shd w:val="clear" w:color="000000" w:fill="FFFFFF"/>
            <w:noWrap/>
            <w:vAlign w:val="center"/>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r>
      <w:tr w:rsidR="009C796D" w:rsidRPr="00290C87" w:rsidTr="00BB5AE6">
        <w:trPr>
          <w:trHeight w:val="281"/>
        </w:trPr>
        <w:tc>
          <w:tcPr>
            <w:tcW w:w="1665" w:type="dxa"/>
            <w:vMerge/>
            <w:tcBorders>
              <w:top w:val="single" w:sz="8" w:space="0" w:color="auto"/>
              <w:left w:val="single" w:sz="8" w:space="0" w:color="auto"/>
              <w:bottom w:val="nil"/>
              <w:right w:val="single" w:sz="4" w:space="0" w:color="000000"/>
            </w:tcBorders>
            <w:vAlign w:val="center"/>
            <w:hideMark/>
          </w:tcPr>
          <w:p w:rsidR="009C796D" w:rsidRPr="00290C87" w:rsidRDefault="009C796D" w:rsidP="00BB5AE6">
            <w:pPr>
              <w:rPr>
                <w:rFonts w:ascii="Garamond" w:eastAsia="Times New Roman" w:hAnsi="Garamond" w:cs="Calibri"/>
                <w:b/>
                <w:bCs/>
                <w:color w:val="000000"/>
                <w:sz w:val="20"/>
                <w:szCs w:val="20"/>
                <w:lang w:val="en-IN" w:eastAsia="en-IN"/>
              </w:rPr>
            </w:pPr>
          </w:p>
        </w:tc>
        <w:tc>
          <w:tcPr>
            <w:tcW w:w="799" w:type="dxa"/>
            <w:tcBorders>
              <w:top w:val="nil"/>
              <w:left w:val="single" w:sz="8" w:space="0" w:color="auto"/>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Dec</w:t>
            </w:r>
          </w:p>
        </w:tc>
        <w:tc>
          <w:tcPr>
            <w:tcW w:w="799" w:type="dxa"/>
            <w:tcBorders>
              <w:top w:val="nil"/>
              <w:left w:val="nil"/>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Jan</w:t>
            </w:r>
          </w:p>
        </w:tc>
        <w:tc>
          <w:tcPr>
            <w:tcW w:w="799" w:type="dxa"/>
            <w:tcBorders>
              <w:top w:val="nil"/>
              <w:left w:val="nil"/>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Feb</w:t>
            </w:r>
          </w:p>
        </w:tc>
        <w:tc>
          <w:tcPr>
            <w:tcW w:w="799" w:type="dxa"/>
            <w:tcBorders>
              <w:top w:val="nil"/>
              <w:left w:val="nil"/>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Mar</w:t>
            </w:r>
          </w:p>
        </w:tc>
        <w:tc>
          <w:tcPr>
            <w:tcW w:w="799" w:type="dxa"/>
            <w:tcBorders>
              <w:top w:val="nil"/>
              <w:left w:val="nil"/>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Apr</w:t>
            </w:r>
          </w:p>
        </w:tc>
        <w:tc>
          <w:tcPr>
            <w:tcW w:w="799" w:type="dxa"/>
            <w:tcBorders>
              <w:top w:val="nil"/>
              <w:left w:val="nil"/>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May</w:t>
            </w:r>
          </w:p>
        </w:tc>
        <w:tc>
          <w:tcPr>
            <w:tcW w:w="799" w:type="dxa"/>
            <w:tcBorders>
              <w:top w:val="nil"/>
              <w:left w:val="nil"/>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Jun</w:t>
            </w:r>
          </w:p>
        </w:tc>
        <w:tc>
          <w:tcPr>
            <w:tcW w:w="799" w:type="dxa"/>
            <w:tcBorders>
              <w:top w:val="nil"/>
              <w:left w:val="nil"/>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Jul</w:t>
            </w:r>
          </w:p>
        </w:tc>
        <w:tc>
          <w:tcPr>
            <w:tcW w:w="799" w:type="dxa"/>
            <w:tcBorders>
              <w:top w:val="nil"/>
              <w:left w:val="nil"/>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Aug</w:t>
            </w:r>
          </w:p>
        </w:tc>
        <w:tc>
          <w:tcPr>
            <w:tcW w:w="799" w:type="dxa"/>
            <w:tcBorders>
              <w:top w:val="nil"/>
              <w:left w:val="nil"/>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Sep</w:t>
            </w:r>
          </w:p>
        </w:tc>
        <w:tc>
          <w:tcPr>
            <w:tcW w:w="799" w:type="dxa"/>
            <w:tcBorders>
              <w:top w:val="nil"/>
              <w:left w:val="nil"/>
              <w:bottom w:val="nil"/>
              <w:right w:val="single" w:sz="8" w:space="0" w:color="auto"/>
            </w:tcBorders>
            <w:shd w:val="clear" w:color="auto" w:fill="auto"/>
            <w:hideMark/>
          </w:tcPr>
          <w:p w:rsidR="009C796D" w:rsidRPr="00290C87" w:rsidRDefault="009C796D" w:rsidP="00BB5AE6">
            <w:pPr>
              <w:jc w:val="cente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Oct</w:t>
            </w:r>
          </w:p>
        </w:tc>
      </w:tr>
      <w:tr w:rsidR="009C796D" w:rsidRPr="00290C87" w:rsidTr="00BB5AE6">
        <w:trPr>
          <w:trHeight w:val="267"/>
        </w:trPr>
        <w:tc>
          <w:tcPr>
            <w:tcW w:w="1665" w:type="dxa"/>
            <w:tcBorders>
              <w:top w:val="single" w:sz="8" w:space="0" w:color="auto"/>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Japan</w:t>
            </w:r>
          </w:p>
        </w:tc>
        <w:tc>
          <w:tcPr>
            <w:tcW w:w="799" w:type="dxa"/>
            <w:tcBorders>
              <w:top w:val="single" w:sz="8" w:space="0" w:color="auto"/>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1,155</w:t>
            </w:r>
          </w:p>
        </w:tc>
        <w:tc>
          <w:tcPr>
            <w:tcW w:w="799" w:type="dxa"/>
            <w:tcBorders>
              <w:top w:val="single" w:sz="8" w:space="0" w:color="auto"/>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1,212</w:t>
            </w:r>
          </w:p>
        </w:tc>
        <w:tc>
          <w:tcPr>
            <w:tcW w:w="799" w:type="dxa"/>
            <w:tcBorders>
              <w:top w:val="single" w:sz="8" w:space="0" w:color="auto"/>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1,269</w:t>
            </w:r>
          </w:p>
        </w:tc>
        <w:tc>
          <w:tcPr>
            <w:tcW w:w="799" w:type="dxa"/>
            <w:tcBorders>
              <w:top w:val="single" w:sz="8" w:space="0" w:color="auto"/>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1,273</w:t>
            </w:r>
          </w:p>
        </w:tc>
        <w:tc>
          <w:tcPr>
            <w:tcW w:w="799" w:type="dxa"/>
            <w:tcBorders>
              <w:top w:val="single" w:sz="8" w:space="0" w:color="auto"/>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1,267</w:t>
            </w:r>
          </w:p>
        </w:tc>
        <w:tc>
          <w:tcPr>
            <w:tcW w:w="799" w:type="dxa"/>
            <w:tcBorders>
              <w:top w:val="single" w:sz="8" w:space="0" w:color="auto"/>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1,260</w:t>
            </w:r>
          </w:p>
        </w:tc>
        <w:tc>
          <w:tcPr>
            <w:tcW w:w="799" w:type="dxa"/>
            <w:tcBorders>
              <w:top w:val="single" w:sz="8" w:space="0" w:color="auto"/>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1,262</w:t>
            </w:r>
          </w:p>
        </w:tc>
        <w:tc>
          <w:tcPr>
            <w:tcW w:w="799" w:type="dxa"/>
            <w:tcBorders>
              <w:top w:val="single" w:sz="8" w:space="0" w:color="auto"/>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1,293</w:t>
            </w:r>
          </w:p>
        </w:tc>
        <w:tc>
          <w:tcPr>
            <w:tcW w:w="799" w:type="dxa"/>
            <w:tcBorders>
              <w:top w:val="single" w:sz="8" w:space="0" w:color="auto"/>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1,278</w:t>
            </w:r>
          </w:p>
        </w:tc>
        <w:tc>
          <w:tcPr>
            <w:tcW w:w="799" w:type="dxa"/>
            <w:tcBorders>
              <w:top w:val="single" w:sz="8" w:space="0" w:color="auto"/>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1,276</w:t>
            </w:r>
          </w:p>
        </w:tc>
        <w:tc>
          <w:tcPr>
            <w:tcW w:w="799" w:type="dxa"/>
            <w:tcBorders>
              <w:top w:val="single" w:sz="8" w:space="0" w:color="auto"/>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1,270</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China, Mainland</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1,070</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1,079</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1,092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1,082</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1,073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1,084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1,074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1,073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1,068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1,062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1,054</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United Kingdom</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392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477</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429</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446</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443</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Ireland</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282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272</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283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272</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324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330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331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335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316</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316</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Luxembourg</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255</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246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263</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266</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Brazil</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282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283</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286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260</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266</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263</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Switzerland</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238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238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244</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245</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241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243</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247</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256</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Belgium</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207</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207</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206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210</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212</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240</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Hong Kong</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250</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253</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259</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269</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266</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267</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251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246</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229</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India</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162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164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178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157</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157</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170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183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195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197</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214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xml:space="preserve"> 222</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Cayman Islands</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238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225</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228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209</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217</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224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222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229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232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222</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Taiwan</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193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199</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202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205</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202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199</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205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218</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Singapore</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148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161</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165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152</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146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142</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151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159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160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159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162</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France</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148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156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131</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144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137</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Saudi Arabia</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180</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183</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184</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159</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134</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Canada</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143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158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148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132</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131</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Korea</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121</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116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111</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120</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117</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123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119</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Norway</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90</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103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84</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Thailand</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91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82</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86</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86</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82</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Germany</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77</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81</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80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74</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Bermuda</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65</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67</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67</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72</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Netherlands</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69</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70</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Israel</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53</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Mexico</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48</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49</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Philippines</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43</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43</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Kuwait</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46</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Poland</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39</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39</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34</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46</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Italy</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Australia</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39</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Sweden</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49</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37</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37</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Spain</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50</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47</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35</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Vietnam</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31</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33</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Colombia</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29</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27</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29</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32</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All Other</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552</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574</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581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531</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544</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552</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548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566</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558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555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542</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Grand Total</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6,844</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7,027</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7,226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6,950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6,903</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6,978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7,047</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7,097</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7,083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7,071</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7,068</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Of which:</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rPr>
                <w:rFonts w:ascii="Garamond" w:eastAsia="Times New Roman" w:hAnsi="Garamond" w:cs="Calibri"/>
                <w:b/>
                <w:bCs/>
                <w:color w:val="000000"/>
                <w:sz w:val="20"/>
                <w:szCs w:val="20"/>
                <w:lang w:val="en-IN" w:eastAsia="en-IN"/>
              </w:rPr>
            </w:pPr>
            <w:r w:rsidRPr="00290C87">
              <w:rPr>
                <w:rFonts w:ascii="Garamond" w:eastAsia="Times New Roman" w:hAnsi="Garamond" w:cs="Calibri"/>
                <w:b/>
                <w:bCs/>
                <w:color w:val="000000"/>
                <w:sz w:val="20"/>
                <w:szCs w:val="20"/>
                <w:lang w:val="en-IN" w:eastAsia="en-IN"/>
              </w:rPr>
              <w:t> </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For. Official</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4,077</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4,170</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4,265</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4,118</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4,047</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4,106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4,148</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4,192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4,200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4,200</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4,168</w:t>
            </w:r>
          </w:p>
        </w:tc>
      </w:tr>
      <w:tr w:rsidR="009C796D" w:rsidRPr="00290C87" w:rsidTr="00BB5AE6">
        <w:trPr>
          <w:trHeight w:val="267"/>
        </w:trPr>
        <w:tc>
          <w:tcPr>
            <w:tcW w:w="1665" w:type="dxa"/>
            <w:tcBorders>
              <w:top w:val="nil"/>
              <w:left w:val="single" w:sz="8" w:space="0" w:color="auto"/>
              <w:bottom w:val="nil"/>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Treasury Bills</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269</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295</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306</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283</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331</w:t>
            </w:r>
          </w:p>
        </w:tc>
        <w:tc>
          <w:tcPr>
            <w:tcW w:w="799" w:type="dxa"/>
            <w:tcBorders>
              <w:top w:val="nil"/>
              <w:left w:val="nil"/>
              <w:bottom w:val="nil"/>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356</w:t>
            </w:r>
          </w:p>
        </w:tc>
        <w:tc>
          <w:tcPr>
            <w:tcW w:w="799" w:type="dxa"/>
            <w:tcBorders>
              <w:top w:val="nil"/>
              <w:left w:val="single" w:sz="8" w:space="0" w:color="auto"/>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383</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394</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385</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372</w:t>
            </w:r>
          </w:p>
        </w:tc>
        <w:tc>
          <w:tcPr>
            <w:tcW w:w="799" w:type="dxa"/>
            <w:tcBorders>
              <w:top w:val="nil"/>
              <w:left w:val="nil"/>
              <w:bottom w:val="nil"/>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375</w:t>
            </w:r>
          </w:p>
        </w:tc>
      </w:tr>
      <w:tr w:rsidR="009C796D" w:rsidRPr="00290C87" w:rsidTr="00BB5AE6">
        <w:trPr>
          <w:trHeight w:val="281"/>
        </w:trPr>
        <w:tc>
          <w:tcPr>
            <w:tcW w:w="1665" w:type="dxa"/>
            <w:tcBorders>
              <w:top w:val="nil"/>
              <w:left w:val="single" w:sz="8" w:space="0" w:color="auto"/>
              <w:bottom w:val="single" w:sz="8" w:space="0" w:color="auto"/>
              <w:right w:val="nil"/>
            </w:tcBorders>
            <w:shd w:val="clear" w:color="auto" w:fill="auto"/>
            <w:noWrap/>
            <w:vAlign w:val="center"/>
            <w:hideMark/>
          </w:tcPr>
          <w:p w:rsidR="009C796D" w:rsidRPr="00290C87" w:rsidRDefault="009C796D" w:rsidP="00BB5AE6">
            <w:pPr>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T-Bonds &amp; Notes</w:t>
            </w:r>
          </w:p>
        </w:tc>
        <w:tc>
          <w:tcPr>
            <w:tcW w:w="799" w:type="dxa"/>
            <w:tcBorders>
              <w:top w:val="nil"/>
              <w:left w:val="single" w:sz="8" w:space="0" w:color="auto"/>
              <w:bottom w:val="single" w:sz="8" w:space="0" w:color="auto"/>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3,808</w:t>
            </w:r>
          </w:p>
        </w:tc>
        <w:tc>
          <w:tcPr>
            <w:tcW w:w="799" w:type="dxa"/>
            <w:tcBorders>
              <w:top w:val="nil"/>
              <w:left w:val="nil"/>
              <w:bottom w:val="single" w:sz="8" w:space="0" w:color="auto"/>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3,875</w:t>
            </w:r>
          </w:p>
        </w:tc>
        <w:tc>
          <w:tcPr>
            <w:tcW w:w="799" w:type="dxa"/>
            <w:tcBorders>
              <w:top w:val="nil"/>
              <w:left w:val="single" w:sz="8" w:space="0" w:color="auto"/>
              <w:bottom w:val="single" w:sz="8" w:space="0" w:color="auto"/>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3,959</w:t>
            </w:r>
          </w:p>
        </w:tc>
        <w:tc>
          <w:tcPr>
            <w:tcW w:w="799" w:type="dxa"/>
            <w:tcBorders>
              <w:top w:val="nil"/>
              <w:left w:val="nil"/>
              <w:bottom w:val="single" w:sz="8" w:space="0" w:color="auto"/>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3,835</w:t>
            </w:r>
          </w:p>
        </w:tc>
        <w:tc>
          <w:tcPr>
            <w:tcW w:w="799" w:type="dxa"/>
            <w:tcBorders>
              <w:top w:val="nil"/>
              <w:left w:val="single" w:sz="8" w:space="0" w:color="auto"/>
              <w:bottom w:val="single" w:sz="8" w:space="0" w:color="auto"/>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3,716</w:t>
            </w:r>
          </w:p>
        </w:tc>
        <w:tc>
          <w:tcPr>
            <w:tcW w:w="799" w:type="dxa"/>
            <w:tcBorders>
              <w:top w:val="nil"/>
              <w:left w:val="nil"/>
              <w:bottom w:val="single" w:sz="8" w:space="0" w:color="auto"/>
              <w:right w:val="nil"/>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3,750</w:t>
            </w:r>
          </w:p>
        </w:tc>
        <w:tc>
          <w:tcPr>
            <w:tcW w:w="799" w:type="dxa"/>
            <w:tcBorders>
              <w:top w:val="nil"/>
              <w:left w:val="single" w:sz="8" w:space="0" w:color="auto"/>
              <w:bottom w:val="single" w:sz="8" w:space="0" w:color="auto"/>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3,766</w:t>
            </w:r>
          </w:p>
        </w:tc>
        <w:tc>
          <w:tcPr>
            <w:tcW w:w="799" w:type="dxa"/>
            <w:tcBorders>
              <w:top w:val="nil"/>
              <w:left w:val="nil"/>
              <w:bottom w:val="single" w:sz="8" w:space="0" w:color="auto"/>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3,798</w:t>
            </w:r>
          </w:p>
        </w:tc>
        <w:tc>
          <w:tcPr>
            <w:tcW w:w="799" w:type="dxa"/>
            <w:tcBorders>
              <w:top w:val="nil"/>
              <w:left w:val="nil"/>
              <w:bottom w:val="single" w:sz="8" w:space="0" w:color="auto"/>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3,815</w:t>
            </w:r>
          </w:p>
        </w:tc>
        <w:tc>
          <w:tcPr>
            <w:tcW w:w="799" w:type="dxa"/>
            <w:tcBorders>
              <w:top w:val="nil"/>
              <w:left w:val="nil"/>
              <w:bottom w:val="single" w:sz="8" w:space="0" w:color="auto"/>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3,828</w:t>
            </w:r>
          </w:p>
        </w:tc>
        <w:tc>
          <w:tcPr>
            <w:tcW w:w="799" w:type="dxa"/>
            <w:tcBorders>
              <w:top w:val="nil"/>
              <w:left w:val="nil"/>
              <w:bottom w:val="single" w:sz="8" w:space="0" w:color="auto"/>
              <w:right w:val="single" w:sz="8" w:space="0" w:color="auto"/>
            </w:tcBorders>
            <w:shd w:val="clear" w:color="auto" w:fill="auto"/>
            <w:noWrap/>
            <w:vAlign w:val="bottom"/>
            <w:hideMark/>
          </w:tcPr>
          <w:p w:rsidR="009C796D" w:rsidRPr="00290C87" w:rsidRDefault="009C796D" w:rsidP="00BB5AE6">
            <w:pPr>
              <w:jc w:val="right"/>
              <w:rPr>
                <w:rFonts w:ascii="Garamond" w:eastAsia="Times New Roman" w:hAnsi="Garamond" w:cs="Calibri"/>
                <w:color w:val="000000"/>
                <w:sz w:val="20"/>
                <w:szCs w:val="20"/>
                <w:lang w:val="en-IN" w:eastAsia="en-IN"/>
              </w:rPr>
            </w:pPr>
            <w:r w:rsidRPr="00290C87">
              <w:rPr>
                <w:rFonts w:ascii="Garamond" w:eastAsia="Times New Roman" w:hAnsi="Garamond" w:cs="Calibri"/>
                <w:color w:val="000000"/>
                <w:sz w:val="20"/>
                <w:szCs w:val="20"/>
                <w:lang w:val="en-IN" w:eastAsia="en-IN"/>
              </w:rPr>
              <w:t xml:space="preserve"> 3,792</w:t>
            </w:r>
          </w:p>
        </w:tc>
      </w:tr>
    </w:tbl>
    <w:p w:rsidR="009C796D" w:rsidRPr="00272724" w:rsidRDefault="009C796D" w:rsidP="009C796D">
      <w:pPr>
        <w:spacing w:line="23" w:lineRule="atLeast"/>
        <w:rPr>
          <w:rFonts w:ascii="Garamond" w:hAnsi="Garamond"/>
          <w:bCs/>
          <w:sz w:val="18"/>
          <w:szCs w:val="18"/>
        </w:rPr>
      </w:pPr>
      <w:r w:rsidRPr="00272724">
        <w:rPr>
          <w:rFonts w:ascii="Garamond" w:hAnsi="Garamond"/>
          <w:bCs/>
          <w:sz w:val="18"/>
          <w:szCs w:val="18"/>
        </w:rPr>
        <w:t xml:space="preserve"> Note: </w:t>
      </w:r>
    </w:p>
    <w:p w:rsidR="009C796D" w:rsidRPr="00272724" w:rsidRDefault="009C796D" w:rsidP="009C796D">
      <w:pPr>
        <w:numPr>
          <w:ilvl w:val="0"/>
          <w:numId w:val="14"/>
        </w:numPr>
        <w:spacing w:line="23" w:lineRule="atLeast"/>
        <w:ind w:left="360"/>
        <w:contextualSpacing/>
        <w:jc w:val="both"/>
        <w:rPr>
          <w:rFonts w:ascii="Garamond" w:hAnsi="Garamond"/>
          <w:bCs/>
          <w:sz w:val="18"/>
          <w:szCs w:val="18"/>
          <w:lang w:val="en-US"/>
        </w:rPr>
      </w:pPr>
      <w:r w:rsidRPr="00272724">
        <w:rPr>
          <w:rFonts w:ascii="Garamond" w:hAnsi="Garamond"/>
          <w:bCs/>
          <w:sz w:val="18"/>
          <w:szCs w:val="18"/>
          <w:lang w:val="en-US"/>
        </w:rPr>
        <w:t xml:space="preserve">Data available as on </w:t>
      </w:r>
      <w:r>
        <w:rPr>
          <w:rFonts w:ascii="Garamond" w:hAnsi="Garamond"/>
          <w:bCs/>
          <w:sz w:val="18"/>
          <w:szCs w:val="18"/>
          <w:lang w:val="en-US"/>
        </w:rPr>
        <w:t>14 December</w:t>
      </w:r>
      <w:r w:rsidRPr="00272724">
        <w:rPr>
          <w:rFonts w:ascii="Garamond" w:hAnsi="Garamond"/>
          <w:bCs/>
          <w:sz w:val="18"/>
          <w:szCs w:val="18"/>
          <w:lang w:val="en-US"/>
        </w:rPr>
        <w:t xml:space="preserve"> 2020</w:t>
      </w:r>
    </w:p>
    <w:p w:rsidR="009C796D" w:rsidRPr="00272724" w:rsidRDefault="009C796D" w:rsidP="009C796D">
      <w:pPr>
        <w:numPr>
          <w:ilvl w:val="0"/>
          <w:numId w:val="14"/>
        </w:numPr>
        <w:spacing w:line="23" w:lineRule="atLeast"/>
        <w:ind w:left="360"/>
        <w:contextualSpacing/>
        <w:jc w:val="both"/>
        <w:rPr>
          <w:rFonts w:ascii="Garamond" w:hAnsi="Garamond"/>
          <w:bCs/>
          <w:sz w:val="18"/>
          <w:szCs w:val="18"/>
          <w:lang w:val="en-US"/>
        </w:rPr>
      </w:pPr>
      <w:r w:rsidRPr="00272724">
        <w:rPr>
          <w:rFonts w:ascii="Garamond" w:hAnsi="Garamond"/>
          <w:bCs/>
          <w:sz w:val="18"/>
          <w:szCs w:val="18"/>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rsidR="009C796D" w:rsidRPr="00272724" w:rsidRDefault="009C796D" w:rsidP="009C796D">
      <w:pPr>
        <w:numPr>
          <w:ilvl w:val="0"/>
          <w:numId w:val="14"/>
        </w:numPr>
        <w:spacing w:line="23" w:lineRule="atLeast"/>
        <w:ind w:left="360"/>
        <w:contextualSpacing/>
        <w:jc w:val="both"/>
        <w:rPr>
          <w:rFonts w:ascii="Garamond" w:hAnsi="Garamond"/>
          <w:bCs/>
          <w:sz w:val="18"/>
          <w:szCs w:val="18"/>
          <w:lang w:val="en-US"/>
        </w:rPr>
      </w:pPr>
      <w:r w:rsidRPr="00272724">
        <w:rPr>
          <w:rFonts w:ascii="Garamond" w:hAnsi="Garamond"/>
          <w:bCs/>
          <w:sz w:val="18"/>
          <w:szCs w:val="18"/>
          <w:lang w:val="en-US"/>
        </w:rPr>
        <w:t>Estimated foreign holdings of U.S. Treasury marketable and non-marketable bills, bonds, and notes reported under the Treasury  International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rsidR="009C796D" w:rsidRPr="002A4773" w:rsidRDefault="009C796D" w:rsidP="009C796D">
      <w:pPr>
        <w:spacing w:line="23" w:lineRule="atLeast"/>
        <w:rPr>
          <w:rFonts w:ascii="Times New Roman" w:hAnsi="Times New Roman"/>
          <w:bCs/>
          <w:sz w:val="18"/>
          <w:szCs w:val="18"/>
        </w:rPr>
      </w:pPr>
      <w:r w:rsidRPr="00272724">
        <w:rPr>
          <w:rFonts w:ascii="Garamond" w:hAnsi="Garamond"/>
          <w:bCs/>
          <w:sz w:val="18"/>
          <w:szCs w:val="18"/>
        </w:rPr>
        <w:t>Source: Department of the Treasury/Federal Reserve Board</w:t>
      </w:r>
    </w:p>
    <w:p w:rsidR="009C796D" w:rsidRDefault="009C796D">
      <w:pPr>
        <w:rPr>
          <w:rFonts w:ascii="Times New Roman" w:hAnsi="Times New Roman"/>
          <w:bCs/>
          <w:sz w:val="18"/>
          <w:szCs w:val="18"/>
        </w:rPr>
      </w:pPr>
    </w:p>
    <w:p w:rsidR="00272724" w:rsidRPr="00272724" w:rsidRDefault="00272724" w:rsidP="003E71C8">
      <w:pPr>
        <w:spacing w:line="23" w:lineRule="atLeast"/>
        <w:rPr>
          <w:rFonts w:ascii="Times New Roman" w:hAnsi="Times New Roman"/>
          <w:bCs/>
          <w:sz w:val="18"/>
          <w:szCs w:val="18"/>
        </w:rPr>
      </w:pPr>
    </w:p>
    <w:p w:rsidR="000F236F" w:rsidRDefault="000F236F" w:rsidP="000F236F">
      <w:pPr>
        <w:spacing w:line="23" w:lineRule="atLeast"/>
        <w:rPr>
          <w:rFonts w:ascii="Times New Roman" w:hAnsi="Times New Roman"/>
          <w:bCs/>
          <w:sz w:val="18"/>
          <w:szCs w:val="18"/>
        </w:rPr>
      </w:pPr>
    </w:p>
    <w:p w:rsidR="000F236F" w:rsidRDefault="000F236F" w:rsidP="000F236F">
      <w:pPr>
        <w:spacing w:line="23" w:lineRule="atLeast"/>
        <w:jc w:val="both"/>
        <w:rPr>
          <w:rFonts w:ascii="Calibri" w:hAnsi="Calibri" w:cs="Calibri"/>
          <w:bCs/>
          <w:strike/>
          <w:sz w:val="18"/>
          <w:szCs w:val="18"/>
        </w:rPr>
      </w:pPr>
    </w:p>
    <w:p w:rsidR="000F236F" w:rsidRDefault="000F236F" w:rsidP="000F236F">
      <w:pPr>
        <w:tabs>
          <w:tab w:val="left" w:pos="8160"/>
        </w:tabs>
        <w:jc w:val="both"/>
        <w:rPr>
          <w:rFonts w:ascii="Palatino Linotype" w:hAnsi="Palatino Linotype"/>
          <w:b/>
          <w:color w:val="1F3864"/>
          <w:sz w:val="40"/>
          <w:szCs w:val="40"/>
        </w:rPr>
      </w:pPr>
    </w:p>
    <w:p w:rsidR="000F236F"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HIGHLIGHTS OF DEVELOPMENTS IN</w:t>
      </w:r>
    </w:p>
    <w:p w:rsidR="000F236F" w:rsidRPr="004752BB"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INTERNATIONAL SECURITIES MARKET</w:t>
      </w:r>
    </w:p>
    <w:p w:rsidR="000F236F" w:rsidRDefault="000F236F" w:rsidP="000F236F">
      <w:pPr>
        <w:tabs>
          <w:tab w:val="left" w:pos="8160"/>
        </w:tabs>
        <w:jc w:val="both"/>
        <w:rPr>
          <w:rFonts w:ascii="Palatino Linotype" w:hAnsi="Palatino Linotype"/>
          <w:b/>
          <w:sz w:val="22"/>
          <w:szCs w:val="22"/>
        </w:rPr>
      </w:pP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272724" w:rsidRDefault="00272724" w:rsidP="00272724">
      <w:pPr>
        <w:shd w:val="clear" w:color="auto" w:fill="FFFFFF"/>
        <w:spacing w:line="276" w:lineRule="auto"/>
        <w:jc w:val="both"/>
        <w:textAlignment w:val="baseline"/>
        <w:rPr>
          <w:rFonts w:ascii="Palatino Linotype" w:hAnsi="Palatino Linotype"/>
          <w:b/>
          <w:bCs/>
          <w:sz w:val="22"/>
          <w:szCs w:val="22"/>
          <w:lang w:val="en-US" w:bidi="hi-IN"/>
        </w:rPr>
      </w:pPr>
      <w:r>
        <w:rPr>
          <w:rFonts w:ascii="Palatino Linotype" w:hAnsi="Palatino Linotype"/>
          <w:b/>
          <w:bCs/>
          <w:sz w:val="22"/>
          <w:szCs w:val="22"/>
          <w:lang w:val="en-US" w:bidi="hi-IN"/>
        </w:rPr>
        <w:t xml:space="preserve">1) </w:t>
      </w:r>
      <w:r w:rsidR="009070E0" w:rsidRPr="009070E0">
        <w:rPr>
          <w:rFonts w:ascii="Palatino Linotype" w:hAnsi="Palatino Linotype"/>
          <w:b/>
          <w:bCs/>
          <w:sz w:val="22"/>
          <w:szCs w:val="22"/>
          <w:lang w:val="en-US" w:bidi="hi-IN"/>
        </w:rPr>
        <w:t>SEC Adopts Amendments to Modernize and Enhance Management’s Discussion and Analysis and other Financial Disclosures</w:t>
      </w:r>
    </w:p>
    <w:p w:rsidR="00272724" w:rsidRDefault="00272724" w:rsidP="00272724">
      <w:pPr>
        <w:shd w:val="clear" w:color="auto" w:fill="FFFFFF"/>
        <w:spacing w:line="276" w:lineRule="auto"/>
        <w:jc w:val="both"/>
        <w:textAlignment w:val="baseline"/>
        <w:rPr>
          <w:rFonts w:ascii="Palatino Linotype" w:hAnsi="Palatino Linotype"/>
          <w:b/>
          <w:bCs/>
          <w:sz w:val="22"/>
          <w:szCs w:val="22"/>
          <w:lang w:val="en-US" w:bidi="hi-IN"/>
        </w:rPr>
      </w:pPr>
    </w:p>
    <w:p w:rsidR="00272724" w:rsidRDefault="009070E0" w:rsidP="00272724">
      <w:pPr>
        <w:shd w:val="clear" w:color="auto" w:fill="FFFFFF"/>
        <w:spacing w:line="276" w:lineRule="auto"/>
        <w:jc w:val="both"/>
        <w:textAlignment w:val="baseline"/>
        <w:rPr>
          <w:rFonts w:ascii="Palatino Linotype" w:hAnsi="Palatino Linotype"/>
          <w:sz w:val="22"/>
          <w:szCs w:val="22"/>
          <w:lang w:val="en-US" w:bidi="hi-IN"/>
        </w:rPr>
      </w:pPr>
      <w:r w:rsidRPr="009070E0">
        <w:rPr>
          <w:rFonts w:ascii="Palatino Linotype" w:hAnsi="Palatino Linotype"/>
          <w:sz w:val="22"/>
          <w:szCs w:val="22"/>
          <w:lang w:val="en-US" w:bidi="hi-IN"/>
        </w:rPr>
        <w:t xml:space="preserve">The Securities and Exchange Commission </w:t>
      </w:r>
      <w:r>
        <w:rPr>
          <w:rFonts w:ascii="Palatino Linotype" w:hAnsi="Palatino Linotype"/>
          <w:sz w:val="22"/>
          <w:szCs w:val="22"/>
          <w:lang w:val="en-US" w:bidi="hi-IN"/>
        </w:rPr>
        <w:t>a</w:t>
      </w:r>
      <w:r w:rsidRPr="009070E0">
        <w:rPr>
          <w:rFonts w:ascii="Palatino Linotype" w:hAnsi="Palatino Linotype"/>
          <w:sz w:val="22"/>
          <w:szCs w:val="22"/>
          <w:lang w:val="en-US" w:bidi="hi-IN"/>
        </w:rPr>
        <w:t>nnounced that it has voted to adopt amendments that will modernize, simplify and enhance certain financial disclosure requirements in Regulation S-K. The amendments are intended to enhance the focus of financial disclosures on material information for the benefit of investors, while simplifying compliance efforts for registrants.</w:t>
      </w:r>
    </w:p>
    <w:p w:rsidR="009070E0" w:rsidRDefault="009070E0" w:rsidP="00272724">
      <w:pPr>
        <w:shd w:val="clear" w:color="auto" w:fill="FFFFFF"/>
        <w:spacing w:line="276" w:lineRule="auto"/>
        <w:jc w:val="both"/>
        <w:textAlignment w:val="baseline"/>
        <w:rPr>
          <w:rFonts w:ascii="Palatino Linotype" w:eastAsia="Times New Roman" w:hAnsi="Palatino Linotype"/>
          <w:sz w:val="22"/>
          <w:szCs w:val="22"/>
          <w:bdr w:val="none" w:sz="0" w:space="0" w:color="auto" w:frame="1"/>
          <w:lang w:val="en-US" w:bidi="hi-IN"/>
        </w:rPr>
      </w:pPr>
    </w:p>
    <w:p w:rsidR="00272724" w:rsidRDefault="00272724" w:rsidP="00272724">
      <w:pPr>
        <w:jc w:val="both"/>
        <w:rPr>
          <w:rFonts w:ascii="Palatino Linotype" w:hAnsi="Palatino Linotype" w:cs="Calibri"/>
          <w:bCs/>
        </w:rPr>
      </w:pPr>
      <w:r>
        <w:rPr>
          <w:rFonts w:ascii="Palatino Linotype" w:hAnsi="Palatino Linotype" w:cs="Calibri"/>
          <w:bCs/>
        </w:rPr>
        <w:t>Source:  https://www.sec.gov/news/press-release/2020-2</w:t>
      </w:r>
      <w:r w:rsidR="009070E0">
        <w:rPr>
          <w:rFonts w:ascii="Palatino Linotype" w:hAnsi="Palatino Linotype" w:cs="Calibri"/>
          <w:bCs/>
        </w:rPr>
        <w:t>90</w:t>
      </w:r>
    </w:p>
    <w:p w:rsidR="00272724" w:rsidRDefault="00272724" w:rsidP="00272724">
      <w:pPr>
        <w:spacing w:line="276" w:lineRule="auto"/>
        <w:jc w:val="both"/>
        <w:rPr>
          <w:rFonts w:ascii="Palatino Linotype" w:hAnsi="Palatino Linotype"/>
          <w:i/>
          <w:iCs/>
          <w:lang w:val="en-US" w:bidi="hi-IN"/>
        </w:rPr>
      </w:pPr>
    </w:p>
    <w:p w:rsidR="00272724" w:rsidRDefault="00272724" w:rsidP="00272724">
      <w:pPr>
        <w:tabs>
          <w:tab w:val="left" w:pos="8160"/>
        </w:tabs>
        <w:jc w:val="both"/>
        <w:rPr>
          <w:rFonts w:ascii="Palatino Linotype" w:hAnsi="Palatino Linotype"/>
          <w:b/>
        </w:rPr>
      </w:pPr>
    </w:p>
    <w:p w:rsidR="00272724" w:rsidRDefault="00272724" w:rsidP="00272724">
      <w:pPr>
        <w:tabs>
          <w:tab w:val="left" w:pos="8160"/>
        </w:tabs>
        <w:jc w:val="both"/>
        <w:rPr>
          <w:rFonts w:ascii="Palatino Linotype" w:hAnsi="Palatino Linotype"/>
          <w:b/>
        </w:rPr>
      </w:pPr>
      <w:r>
        <w:rPr>
          <w:rFonts w:ascii="Palatino Linotype" w:hAnsi="Palatino Linotype"/>
          <w:b/>
        </w:rPr>
        <w:t xml:space="preserve">2) </w:t>
      </w:r>
      <w:r w:rsidR="009070E0" w:rsidRPr="009070E0">
        <w:rPr>
          <w:rFonts w:ascii="Palatino Linotype" w:hAnsi="Palatino Linotype"/>
          <w:b/>
        </w:rPr>
        <w:t>SEC Issues Statement on European Central Counterparties Seeking to Register or Request Exemptions From the SEC</w:t>
      </w:r>
    </w:p>
    <w:p w:rsidR="00272724" w:rsidRDefault="00272724" w:rsidP="00272724">
      <w:pPr>
        <w:tabs>
          <w:tab w:val="left" w:pos="8160"/>
        </w:tabs>
        <w:jc w:val="both"/>
        <w:rPr>
          <w:rFonts w:ascii="Palatino Linotype" w:hAnsi="Palatino Linotype"/>
          <w:b/>
        </w:rPr>
      </w:pPr>
    </w:p>
    <w:p w:rsidR="00272724" w:rsidRDefault="009070E0" w:rsidP="00272724">
      <w:pPr>
        <w:tabs>
          <w:tab w:val="left" w:pos="8160"/>
        </w:tabs>
        <w:jc w:val="both"/>
        <w:rPr>
          <w:rFonts w:ascii="Palatino Linotype" w:eastAsia="Calibri" w:hAnsi="Palatino Linotype" w:cs="Arial"/>
          <w:bCs/>
          <w:color w:val="000000"/>
          <w:sz w:val="22"/>
          <w:szCs w:val="22"/>
          <w:lang w:val="en-US"/>
        </w:rPr>
      </w:pPr>
      <w:r w:rsidRPr="009070E0">
        <w:rPr>
          <w:rFonts w:ascii="Palatino Linotype" w:eastAsia="Calibri" w:hAnsi="Palatino Linotype" w:cs="Arial"/>
          <w:bCs/>
          <w:color w:val="000000"/>
          <w:sz w:val="22"/>
          <w:szCs w:val="22"/>
          <w:lang w:val="en-US"/>
        </w:rPr>
        <w:t>The Securities and Exchange Commission issued a Policy Statement and Guidance focused on central counterparties (CCPs) authorized under the European Markets Infrastructure Regulation (EMIR) that may seek to access and operate in the U.S. securities markets. The Statement provides transparency into the Commission’s processes and highlights efficient ways that CCPs based in the European Union (EU) can register as a clearing agency or request exemptions from certain requirements under the Securities Exchange Act of 1934.</w:t>
      </w:r>
    </w:p>
    <w:p w:rsidR="009070E0" w:rsidRDefault="009070E0" w:rsidP="00272724">
      <w:pPr>
        <w:tabs>
          <w:tab w:val="left" w:pos="8160"/>
        </w:tabs>
        <w:jc w:val="both"/>
        <w:rPr>
          <w:rFonts w:ascii="Palatino Linotype" w:hAnsi="Palatino Linotype"/>
          <w:b/>
        </w:rPr>
      </w:pPr>
    </w:p>
    <w:p w:rsidR="00272724" w:rsidRDefault="009070E0" w:rsidP="00272724">
      <w:pPr>
        <w:jc w:val="both"/>
        <w:rPr>
          <w:rFonts w:ascii="Palatino Linotype" w:hAnsi="Palatino Linotype" w:cs="Calibri"/>
          <w:b/>
        </w:rPr>
      </w:pPr>
      <w:r w:rsidRPr="009070E0">
        <w:rPr>
          <w:rFonts w:ascii="Palatino Linotype" w:hAnsi="Palatino Linotype" w:cs="Calibri"/>
          <w:bCs/>
        </w:rPr>
        <w:t>Source:  https://www.sec.gov/news/press-release/2020-29</w:t>
      </w:r>
      <w:r>
        <w:rPr>
          <w:rFonts w:ascii="Palatino Linotype" w:hAnsi="Palatino Linotype" w:cs="Calibri"/>
          <w:bCs/>
        </w:rPr>
        <w:t>2</w:t>
      </w:r>
    </w:p>
    <w:p w:rsidR="00272724" w:rsidRDefault="00272724" w:rsidP="00272724">
      <w:pPr>
        <w:rPr>
          <w:rFonts w:ascii="Palatino Linotype" w:hAnsi="Palatino Linotype"/>
          <w:b/>
          <w:sz w:val="22"/>
          <w:szCs w:val="22"/>
        </w:rPr>
      </w:pPr>
    </w:p>
    <w:p w:rsidR="00272724" w:rsidRDefault="00272724" w:rsidP="009070E0">
      <w:pPr>
        <w:rPr>
          <w:rFonts w:ascii="Palatino Linotype" w:hAnsi="Palatino Linotype"/>
          <w:b/>
          <w:sz w:val="22"/>
          <w:szCs w:val="22"/>
        </w:rPr>
      </w:pPr>
      <w:r>
        <w:rPr>
          <w:rFonts w:ascii="Palatino Linotype" w:hAnsi="Palatino Linotype"/>
          <w:b/>
          <w:sz w:val="22"/>
          <w:szCs w:val="22"/>
        </w:rPr>
        <w:t xml:space="preserve">3) </w:t>
      </w:r>
      <w:r w:rsidR="009070E0" w:rsidRPr="009070E0">
        <w:rPr>
          <w:rFonts w:ascii="Palatino Linotype" w:hAnsi="Palatino Linotype"/>
          <w:b/>
          <w:sz w:val="22"/>
          <w:szCs w:val="22"/>
        </w:rPr>
        <w:t>IOSCO Annual Meeting addresses the impact of COVID 19 and other critical</w:t>
      </w:r>
      <w:r w:rsidR="009070E0">
        <w:rPr>
          <w:rFonts w:ascii="Palatino Linotype" w:hAnsi="Palatino Linotype"/>
          <w:b/>
          <w:sz w:val="22"/>
          <w:szCs w:val="22"/>
        </w:rPr>
        <w:t xml:space="preserve"> </w:t>
      </w:r>
      <w:r w:rsidR="009070E0" w:rsidRPr="009070E0">
        <w:rPr>
          <w:rFonts w:ascii="Palatino Linotype" w:hAnsi="Palatino Linotype"/>
          <w:b/>
          <w:sz w:val="22"/>
          <w:szCs w:val="22"/>
        </w:rPr>
        <w:t xml:space="preserve">matters on </w:t>
      </w:r>
      <w:r w:rsidR="009070E0">
        <w:rPr>
          <w:rFonts w:ascii="Palatino Linotype" w:hAnsi="Palatino Linotype"/>
          <w:b/>
          <w:sz w:val="22"/>
          <w:szCs w:val="22"/>
        </w:rPr>
        <w:t>s</w:t>
      </w:r>
      <w:r w:rsidR="009070E0" w:rsidRPr="009070E0">
        <w:rPr>
          <w:rFonts w:ascii="Palatino Linotype" w:hAnsi="Palatino Linotype"/>
          <w:b/>
          <w:sz w:val="22"/>
          <w:szCs w:val="22"/>
        </w:rPr>
        <w:t>ecurities markets</w:t>
      </w:r>
    </w:p>
    <w:p w:rsidR="00272724" w:rsidRDefault="00272724" w:rsidP="00272724">
      <w:pPr>
        <w:rPr>
          <w:rFonts w:ascii="Palatino Linotype" w:hAnsi="Palatino Linotype"/>
          <w:b/>
          <w:sz w:val="22"/>
          <w:szCs w:val="22"/>
        </w:rPr>
      </w:pPr>
    </w:p>
    <w:p w:rsidR="009070E0" w:rsidRDefault="009070E0" w:rsidP="009070E0">
      <w:pPr>
        <w:jc w:val="both"/>
        <w:rPr>
          <w:rFonts w:ascii="Palatino Linotype" w:hAnsi="Palatino Linotype"/>
          <w:bCs/>
          <w:sz w:val="22"/>
          <w:szCs w:val="22"/>
        </w:rPr>
      </w:pPr>
      <w:r w:rsidRPr="009070E0">
        <w:rPr>
          <w:rFonts w:ascii="Palatino Linotype" w:hAnsi="Palatino Linotype"/>
          <w:bCs/>
          <w:sz w:val="22"/>
          <w:szCs w:val="22"/>
        </w:rPr>
        <w:t>Members of the International Organization of Securities Commissions (IOSCO) gathered online for</w:t>
      </w:r>
      <w:r>
        <w:rPr>
          <w:rFonts w:ascii="Palatino Linotype" w:hAnsi="Palatino Linotype"/>
          <w:bCs/>
          <w:sz w:val="22"/>
          <w:szCs w:val="22"/>
        </w:rPr>
        <w:t xml:space="preserve"> </w:t>
      </w:r>
      <w:r w:rsidRPr="009070E0">
        <w:rPr>
          <w:rFonts w:ascii="Palatino Linotype" w:hAnsi="Palatino Linotype"/>
          <w:bCs/>
          <w:sz w:val="22"/>
          <w:szCs w:val="22"/>
        </w:rPr>
        <w:t>the organization´s 45th Annual Meeting last week to discuss the impact of COVID 19 on capital</w:t>
      </w:r>
      <w:r>
        <w:rPr>
          <w:rFonts w:ascii="Palatino Linotype" w:hAnsi="Palatino Linotype"/>
          <w:bCs/>
          <w:sz w:val="22"/>
          <w:szCs w:val="22"/>
        </w:rPr>
        <w:t xml:space="preserve"> </w:t>
      </w:r>
      <w:r w:rsidRPr="009070E0">
        <w:rPr>
          <w:rFonts w:ascii="Palatino Linotype" w:hAnsi="Palatino Linotype"/>
          <w:bCs/>
          <w:sz w:val="22"/>
          <w:szCs w:val="22"/>
        </w:rPr>
        <w:t>markets and other priority issues facing securities market regulators and supervisors today. Some 480</w:t>
      </w:r>
      <w:r>
        <w:rPr>
          <w:rFonts w:ascii="Palatino Linotype" w:hAnsi="Palatino Linotype"/>
          <w:bCs/>
          <w:sz w:val="22"/>
          <w:szCs w:val="22"/>
        </w:rPr>
        <w:t xml:space="preserve"> </w:t>
      </w:r>
      <w:r w:rsidRPr="009070E0">
        <w:rPr>
          <w:rFonts w:ascii="Palatino Linotype" w:hAnsi="Palatino Linotype"/>
          <w:bCs/>
          <w:sz w:val="22"/>
          <w:szCs w:val="22"/>
        </w:rPr>
        <w:t>members from 159 jurisdictions participated in the event.</w:t>
      </w:r>
    </w:p>
    <w:p w:rsidR="009070E0" w:rsidRPr="009070E0" w:rsidRDefault="009070E0" w:rsidP="009070E0">
      <w:pPr>
        <w:jc w:val="both"/>
        <w:rPr>
          <w:rFonts w:ascii="Palatino Linotype" w:hAnsi="Palatino Linotype"/>
          <w:bCs/>
          <w:sz w:val="22"/>
          <w:szCs w:val="22"/>
        </w:rPr>
      </w:pPr>
    </w:p>
    <w:p w:rsidR="009070E0" w:rsidRPr="009070E0" w:rsidRDefault="009070E0" w:rsidP="009070E0">
      <w:pPr>
        <w:jc w:val="both"/>
        <w:rPr>
          <w:rFonts w:ascii="Palatino Linotype" w:hAnsi="Palatino Linotype"/>
          <w:bCs/>
          <w:sz w:val="22"/>
          <w:szCs w:val="22"/>
        </w:rPr>
      </w:pPr>
      <w:r w:rsidRPr="009070E0">
        <w:rPr>
          <w:rFonts w:ascii="Palatino Linotype" w:hAnsi="Palatino Linotype"/>
          <w:bCs/>
          <w:sz w:val="22"/>
          <w:szCs w:val="22"/>
        </w:rPr>
        <w:t>The meeting took place from 9 to 18 November and included virtual meetings of the IOSCO Board,</w:t>
      </w:r>
      <w:r>
        <w:rPr>
          <w:rFonts w:ascii="Palatino Linotype" w:hAnsi="Palatino Linotype"/>
          <w:bCs/>
          <w:sz w:val="22"/>
          <w:szCs w:val="22"/>
        </w:rPr>
        <w:t xml:space="preserve"> </w:t>
      </w:r>
      <w:r w:rsidRPr="009070E0">
        <w:rPr>
          <w:rFonts w:ascii="Palatino Linotype" w:hAnsi="Palatino Linotype"/>
          <w:bCs/>
          <w:sz w:val="22"/>
          <w:szCs w:val="22"/>
        </w:rPr>
        <w:t>IOSCO´s Growth and Emerging Markets (GEM) Committee, its four Regional Committees and the</w:t>
      </w:r>
      <w:r>
        <w:rPr>
          <w:rFonts w:ascii="Palatino Linotype" w:hAnsi="Palatino Linotype"/>
          <w:bCs/>
          <w:sz w:val="22"/>
          <w:szCs w:val="22"/>
        </w:rPr>
        <w:t xml:space="preserve"> </w:t>
      </w:r>
      <w:r w:rsidRPr="009070E0">
        <w:rPr>
          <w:rFonts w:ascii="Palatino Linotype" w:hAnsi="Palatino Linotype"/>
          <w:bCs/>
          <w:sz w:val="22"/>
          <w:szCs w:val="22"/>
        </w:rPr>
        <w:t>Affiliate Members Consultative Committee (AMCC), culminating with the meeting of its Presidents</w:t>
      </w:r>
      <w:r>
        <w:rPr>
          <w:rFonts w:ascii="Palatino Linotype" w:hAnsi="Palatino Linotype"/>
          <w:bCs/>
          <w:sz w:val="22"/>
          <w:szCs w:val="22"/>
        </w:rPr>
        <w:t xml:space="preserve"> </w:t>
      </w:r>
      <w:r w:rsidRPr="009070E0">
        <w:rPr>
          <w:rFonts w:ascii="Palatino Linotype" w:hAnsi="Palatino Linotype"/>
          <w:bCs/>
          <w:sz w:val="22"/>
          <w:szCs w:val="22"/>
        </w:rPr>
        <w:t>Committee. The committees discussed the progress made on IOSCO priority work on sustainable</w:t>
      </w:r>
      <w:r>
        <w:rPr>
          <w:rFonts w:ascii="Palatino Linotype" w:hAnsi="Palatino Linotype"/>
          <w:bCs/>
          <w:sz w:val="22"/>
          <w:szCs w:val="22"/>
        </w:rPr>
        <w:t xml:space="preserve"> </w:t>
      </w:r>
      <w:r w:rsidRPr="009070E0">
        <w:rPr>
          <w:rFonts w:ascii="Palatino Linotype" w:hAnsi="Palatino Linotype"/>
          <w:bCs/>
          <w:sz w:val="22"/>
          <w:szCs w:val="22"/>
        </w:rPr>
        <w:t>finance, financial stability risks, market fragmentation, asset management and retail market conduct.</w:t>
      </w:r>
    </w:p>
    <w:p w:rsidR="009070E0" w:rsidRPr="009070E0" w:rsidRDefault="009070E0" w:rsidP="009070E0">
      <w:pPr>
        <w:jc w:val="both"/>
        <w:rPr>
          <w:rFonts w:ascii="Palatino Linotype" w:hAnsi="Palatino Linotype"/>
          <w:bCs/>
          <w:sz w:val="22"/>
          <w:szCs w:val="22"/>
        </w:rPr>
      </w:pPr>
      <w:r w:rsidRPr="009070E0">
        <w:rPr>
          <w:rFonts w:ascii="Palatino Linotype" w:hAnsi="Palatino Linotype"/>
          <w:bCs/>
          <w:sz w:val="22"/>
          <w:szCs w:val="22"/>
        </w:rPr>
        <w:t>They also explored meaningful waysto contribute to these priorities while addressing members’ needs</w:t>
      </w:r>
    </w:p>
    <w:p w:rsidR="00272724" w:rsidRDefault="009070E0" w:rsidP="009070E0">
      <w:pPr>
        <w:jc w:val="both"/>
        <w:rPr>
          <w:rFonts w:ascii="Palatino Linotype" w:hAnsi="Palatino Linotype"/>
          <w:b/>
          <w:sz w:val="22"/>
          <w:szCs w:val="22"/>
        </w:rPr>
      </w:pPr>
      <w:r w:rsidRPr="009070E0">
        <w:rPr>
          <w:rFonts w:ascii="Palatino Linotype" w:hAnsi="Palatino Linotype"/>
          <w:bCs/>
          <w:sz w:val="22"/>
          <w:szCs w:val="22"/>
        </w:rPr>
        <w:t>regarding such areas as Fintech, cyber resilience, technical assistance and capacity building.</w:t>
      </w:r>
    </w:p>
    <w:p w:rsidR="009070E0" w:rsidRDefault="009070E0" w:rsidP="00272724">
      <w:pPr>
        <w:jc w:val="both"/>
        <w:rPr>
          <w:rFonts w:ascii="Palatino Linotype" w:hAnsi="Palatino Linotype" w:cs="Calibri"/>
          <w:bCs/>
        </w:rPr>
      </w:pPr>
    </w:p>
    <w:p w:rsidR="00272724" w:rsidRPr="00697250" w:rsidRDefault="00272724" w:rsidP="00272724">
      <w:pPr>
        <w:jc w:val="both"/>
        <w:rPr>
          <w:rFonts w:ascii="Palatino Linotype" w:hAnsi="Palatino Linotype" w:cs="Calibri"/>
          <w:bCs/>
        </w:rPr>
      </w:pPr>
      <w:r w:rsidRPr="00697250">
        <w:rPr>
          <w:rFonts w:ascii="Palatino Linotype" w:hAnsi="Palatino Linotype" w:cs="Calibri"/>
          <w:bCs/>
        </w:rPr>
        <w:t xml:space="preserve">Source: </w:t>
      </w:r>
      <w:hyperlink r:id="rId35" w:history="1">
        <w:r w:rsidR="00E15ED5" w:rsidRPr="001E3252">
          <w:rPr>
            <w:rStyle w:val="Hyperlink"/>
            <w:rFonts w:ascii="Palatino Linotype" w:hAnsi="Palatino Linotype" w:cs="Calibri"/>
            <w:bCs/>
          </w:rPr>
          <w:t>https://www.iosco.org/news/pdf/IOSCONEWS583.pdf</w:t>
        </w:r>
      </w:hyperlink>
    </w:p>
    <w:p w:rsidR="00272724" w:rsidRDefault="00272724" w:rsidP="00272724">
      <w:pPr>
        <w:rPr>
          <w:rFonts w:ascii="Palatino Linotype" w:hAnsi="Palatino Linotype"/>
          <w:b/>
          <w:sz w:val="22"/>
          <w:szCs w:val="22"/>
        </w:rPr>
      </w:pPr>
    </w:p>
    <w:p w:rsidR="00272724" w:rsidRDefault="00272724" w:rsidP="00272724">
      <w:pPr>
        <w:rPr>
          <w:rFonts w:ascii="Palatino Linotype" w:hAnsi="Palatino Linotype"/>
          <w:b/>
          <w:sz w:val="22"/>
          <w:szCs w:val="22"/>
        </w:rPr>
      </w:pPr>
    </w:p>
    <w:p w:rsidR="00272724" w:rsidRDefault="00272724" w:rsidP="00272724">
      <w:pPr>
        <w:rPr>
          <w:rFonts w:ascii="Palatino Linotype" w:hAnsi="Palatino Linotype"/>
          <w:b/>
          <w:sz w:val="22"/>
          <w:szCs w:val="22"/>
        </w:rPr>
      </w:pPr>
    </w:p>
    <w:p w:rsidR="00272724" w:rsidRPr="004752BB" w:rsidRDefault="00272724" w:rsidP="00272724">
      <w:pPr>
        <w:jc w:val="center"/>
        <w:rPr>
          <w:rFonts w:ascii="Palatino Linotype" w:hAnsi="Palatino Linotype" w:cs="Calibri"/>
          <w:b/>
          <w:sz w:val="28"/>
          <w:szCs w:val="28"/>
        </w:rPr>
      </w:pPr>
      <w:r w:rsidRPr="004752BB">
        <w:rPr>
          <w:rFonts w:ascii="Palatino Linotype" w:hAnsi="Palatino Linotype" w:cs="Calibri"/>
          <w:b/>
          <w:sz w:val="28"/>
          <w:szCs w:val="28"/>
        </w:rPr>
        <w:t>POLICY DEVELOPMENTS AT SEBI</w:t>
      </w:r>
    </w:p>
    <w:p w:rsidR="00272724" w:rsidRDefault="00272724" w:rsidP="00272724">
      <w:pPr>
        <w:shd w:val="clear" w:color="auto" w:fill="FFFFFF"/>
        <w:spacing w:line="276" w:lineRule="auto"/>
        <w:jc w:val="both"/>
        <w:rPr>
          <w:rFonts w:ascii="Palatino Linotype" w:hAnsi="Palatino Linotype"/>
          <w:color w:val="000000"/>
        </w:rPr>
      </w:pPr>
    </w:p>
    <w:p w:rsidR="00E10EB8"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1. </w:t>
      </w:r>
      <w:r w:rsidRPr="00FD429F">
        <w:rPr>
          <w:rFonts w:ascii="Garamond" w:hAnsi="Garamond"/>
          <w:b/>
          <w:color w:val="000000" w:themeColor="text1"/>
        </w:rPr>
        <w:t>Schemes of Arrangement by Listed Entities and (ii) Relaxation under Sub-rule (7) of Rule 19 of the Securities Contracts (Regulation) Rules, 1957</w:t>
      </w:r>
    </w:p>
    <w:p w:rsidR="00E10EB8" w:rsidRPr="008E611E" w:rsidRDefault="00E10EB8" w:rsidP="00E10EB8">
      <w:pPr>
        <w:shd w:val="clear" w:color="auto" w:fill="FFFFFF"/>
        <w:spacing w:line="276" w:lineRule="auto"/>
        <w:jc w:val="both"/>
        <w:rPr>
          <w:rFonts w:ascii="Garamond" w:hAnsi="Garamond"/>
          <w:b/>
          <w:color w:val="000000" w:themeColor="text1"/>
        </w:rPr>
      </w:pPr>
    </w:p>
    <w:p w:rsidR="00E10EB8" w:rsidRDefault="00E10EB8" w:rsidP="00E10EB8">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SEBI streamlined framework for processing of draft schemes pertaining to mergers and demergers filed by listed companies with the stock exchanges.  These </w:t>
      </w:r>
      <w:r w:rsidRPr="00CA2486">
        <w:rPr>
          <w:rFonts w:ascii="Garamond" w:hAnsi="Garamond"/>
          <w:color w:val="000000" w:themeColor="text1"/>
        </w:rPr>
        <w:t>amendments are aimed at ensuring that the recognised stock exchanges refer draft schemes to SEBI only upon being fully convinced that the listed entity is in compliance with SEBI Act, rules, regulations and circulars issued thereunder.</w:t>
      </w:r>
      <w:r>
        <w:rPr>
          <w:rFonts w:ascii="Garamond" w:hAnsi="Garamond"/>
          <w:color w:val="000000" w:themeColor="text1"/>
        </w:rPr>
        <w:t xml:space="preserve">   </w:t>
      </w:r>
      <w:r w:rsidRPr="00CA2486">
        <w:rPr>
          <w:rFonts w:ascii="Garamond" w:hAnsi="Garamond"/>
          <w:color w:val="000000" w:themeColor="text1"/>
        </w:rPr>
        <w:t>The circular shall be applicable for all the schemes filed with the stock exchanges after November 17, 2020.</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429F">
        <w:rPr>
          <w:rFonts w:ascii="Garamond" w:hAnsi="Garamond"/>
          <w:b/>
          <w:color w:val="000000" w:themeColor="text1"/>
        </w:rPr>
        <w:t>SEBI/HO/CFD/DIL1/CIR/P/2020/215</w:t>
      </w:r>
      <w:r w:rsidRPr="008E611E">
        <w:rPr>
          <w:rFonts w:ascii="Garamond" w:hAnsi="Garamond"/>
          <w:b/>
          <w:color w:val="000000" w:themeColor="text1"/>
        </w:rPr>
        <w:t xml:space="preserve"> dated </w:t>
      </w:r>
      <w:r w:rsidRPr="00FD429F">
        <w:rPr>
          <w:rFonts w:ascii="Garamond" w:hAnsi="Garamond"/>
          <w:b/>
          <w:color w:val="000000" w:themeColor="text1"/>
        </w:rPr>
        <w:t>November</w:t>
      </w:r>
      <w:r>
        <w:rPr>
          <w:rFonts w:ascii="Garamond" w:hAnsi="Garamond"/>
          <w:b/>
          <w:color w:val="000000" w:themeColor="text1"/>
        </w:rPr>
        <w:t xml:space="preserve"> 0</w:t>
      </w:r>
      <w:r w:rsidRPr="00FD429F">
        <w:rPr>
          <w:rFonts w:ascii="Garamond" w:hAnsi="Garamond"/>
          <w:b/>
          <w:color w:val="000000" w:themeColor="text1"/>
        </w:rPr>
        <w:t>3, 2020</w:t>
      </w:r>
    </w:p>
    <w:p w:rsidR="00E10EB8" w:rsidRDefault="00E10EB8" w:rsidP="00E10EB8">
      <w:pPr>
        <w:jc w:val="center"/>
        <w:rPr>
          <w:rFonts w:ascii="Palatino Linotype" w:hAnsi="Palatino Linotype"/>
          <w:b/>
          <w:sz w:val="28"/>
          <w:szCs w:val="36"/>
          <w:u w:val="single"/>
        </w:rPr>
      </w:pPr>
    </w:p>
    <w:p w:rsidR="00E10EB8" w:rsidRPr="00FD429F" w:rsidRDefault="00E10EB8" w:rsidP="00E10EB8">
      <w:pPr>
        <w:shd w:val="clear" w:color="auto" w:fill="FFFFFF"/>
        <w:spacing w:line="276" w:lineRule="auto"/>
        <w:jc w:val="both"/>
        <w:rPr>
          <w:rFonts w:ascii="Garamond" w:hAnsi="Garamond"/>
          <w:b/>
          <w:color w:val="000000" w:themeColor="text1"/>
        </w:rPr>
      </w:pPr>
      <w:r>
        <w:rPr>
          <w:rFonts w:ascii="Garamond" w:hAnsi="Garamond"/>
          <w:b/>
          <w:color w:val="000000" w:themeColor="text1"/>
        </w:rPr>
        <w:t>2</w:t>
      </w:r>
      <w:r w:rsidRPr="008E611E">
        <w:rPr>
          <w:rFonts w:ascii="Garamond" w:hAnsi="Garamond"/>
          <w:b/>
          <w:color w:val="000000" w:themeColor="text1"/>
        </w:rPr>
        <w:t xml:space="preserve">. </w:t>
      </w:r>
      <w:r w:rsidRPr="00FD429F">
        <w:rPr>
          <w:rFonts w:ascii="Garamond" w:hAnsi="Garamond"/>
          <w:b/>
          <w:color w:val="000000" w:themeColor="text1"/>
        </w:rPr>
        <w:t>Creation of Security in issuance of listed debt securities and ‘due</w:t>
      </w:r>
      <w:r>
        <w:rPr>
          <w:rFonts w:ascii="Garamond" w:hAnsi="Garamond"/>
          <w:b/>
          <w:color w:val="000000" w:themeColor="text1"/>
        </w:rPr>
        <w:t xml:space="preserve"> </w:t>
      </w:r>
      <w:r w:rsidRPr="00FD429F">
        <w:rPr>
          <w:rFonts w:ascii="Garamond" w:hAnsi="Garamond"/>
          <w:b/>
          <w:color w:val="000000" w:themeColor="text1"/>
        </w:rPr>
        <w:t>diligence’</w:t>
      </w:r>
      <w:r>
        <w:rPr>
          <w:rFonts w:ascii="Garamond" w:hAnsi="Garamond"/>
          <w:b/>
          <w:color w:val="000000" w:themeColor="text1"/>
        </w:rPr>
        <w:t xml:space="preserve"> </w:t>
      </w:r>
      <w:r w:rsidRPr="00FD429F">
        <w:rPr>
          <w:rFonts w:ascii="Garamond" w:hAnsi="Garamond"/>
          <w:b/>
          <w:color w:val="000000" w:themeColor="text1"/>
        </w:rPr>
        <w:t>by debenture trustee(s)</w:t>
      </w:r>
    </w:p>
    <w:p w:rsidR="00E10EB8" w:rsidRDefault="00E10EB8" w:rsidP="00E10EB8">
      <w:pPr>
        <w:shd w:val="clear" w:color="auto" w:fill="FFFFFF"/>
        <w:spacing w:line="276" w:lineRule="auto"/>
        <w:jc w:val="both"/>
        <w:rPr>
          <w:rFonts w:ascii="Garamond" w:hAnsi="Garamond"/>
          <w:color w:val="000000" w:themeColor="text1"/>
        </w:rPr>
      </w:pPr>
    </w:p>
    <w:p w:rsidR="00E10EB8" w:rsidRDefault="00E10EB8" w:rsidP="00E10EB8">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SEBI issued a </w:t>
      </w:r>
      <w:r w:rsidRPr="00CA2486">
        <w:rPr>
          <w:rFonts w:ascii="Garamond" w:hAnsi="Garamond"/>
          <w:color w:val="000000" w:themeColor="text1"/>
        </w:rPr>
        <w:t>framework for creation of security for listed debt securities and ''due diligence'' that needs to be carried out by debenture trustees.</w:t>
      </w:r>
      <w:r>
        <w:rPr>
          <w:rFonts w:ascii="Garamond" w:hAnsi="Garamond"/>
          <w:color w:val="000000" w:themeColor="text1"/>
        </w:rPr>
        <w:t xml:space="preserve">  </w:t>
      </w:r>
      <w:r w:rsidRPr="00CA2486">
        <w:rPr>
          <w:rFonts w:ascii="Garamond" w:hAnsi="Garamond"/>
          <w:color w:val="000000" w:themeColor="text1"/>
        </w:rPr>
        <w:t xml:space="preserve">The new framework will become effective from January </w:t>
      </w:r>
      <w:r>
        <w:rPr>
          <w:rFonts w:ascii="Garamond" w:hAnsi="Garamond"/>
          <w:color w:val="000000" w:themeColor="text1"/>
        </w:rPr>
        <w:t>0</w:t>
      </w:r>
      <w:r w:rsidRPr="00CA2486">
        <w:rPr>
          <w:rFonts w:ascii="Garamond" w:hAnsi="Garamond"/>
          <w:color w:val="000000" w:themeColor="text1"/>
        </w:rPr>
        <w:t>1, 2021</w:t>
      </w:r>
      <w:r>
        <w:rPr>
          <w:rFonts w:ascii="Garamond" w:hAnsi="Garamond"/>
          <w:color w:val="000000" w:themeColor="text1"/>
        </w:rPr>
        <w:t xml:space="preserve"> </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429F">
        <w:rPr>
          <w:rFonts w:ascii="Garamond" w:hAnsi="Garamond"/>
          <w:b/>
          <w:color w:val="000000" w:themeColor="text1"/>
        </w:rPr>
        <w:t>SEBI/HO/MIRSD/CRADT/CIR/P/2020/218</w:t>
      </w:r>
      <w:r w:rsidRPr="008E611E">
        <w:rPr>
          <w:rFonts w:ascii="Garamond" w:hAnsi="Garamond"/>
          <w:b/>
          <w:color w:val="000000" w:themeColor="text1"/>
        </w:rPr>
        <w:t xml:space="preserve"> dated </w:t>
      </w:r>
      <w:r w:rsidRPr="00FD429F">
        <w:rPr>
          <w:rFonts w:ascii="Garamond" w:hAnsi="Garamond"/>
          <w:b/>
          <w:color w:val="000000" w:themeColor="text1"/>
        </w:rPr>
        <w:t>November</w:t>
      </w:r>
      <w:r>
        <w:rPr>
          <w:rFonts w:ascii="Garamond" w:hAnsi="Garamond"/>
          <w:b/>
          <w:color w:val="000000" w:themeColor="text1"/>
        </w:rPr>
        <w:t xml:space="preserve"> 0</w:t>
      </w:r>
      <w:r w:rsidRPr="00FD429F">
        <w:rPr>
          <w:rFonts w:ascii="Garamond" w:hAnsi="Garamond"/>
          <w:b/>
          <w:color w:val="000000" w:themeColor="text1"/>
        </w:rPr>
        <w:t>3, 2020</w:t>
      </w:r>
    </w:p>
    <w:p w:rsidR="00E10EB8" w:rsidRDefault="00E10EB8" w:rsidP="00E10EB8">
      <w:pPr>
        <w:jc w:val="both"/>
        <w:rPr>
          <w:rFonts w:ascii="Palatino Linotype" w:hAnsi="Palatino Linotype"/>
          <w:b/>
          <w:sz w:val="28"/>
          <w:szCs w:val="36"/>
          <w:u w:val="single"/>
        </w:rPr>
      </w:pPr>
    </w:p>
    <w:p w:rsidR="00E10EB8" w:rsidRPr="008E611E" w:rsidRDefault="00E10EB8" w:rsidP="00E10EB8">
      <w:pPr>
        <w:shd w:val="clear" w:color="auto" w:fill="FFFFFF"/>
        <w:spacing w:line="276" w:lineRule="auto"/>
        <w:jc w:val="both"/>
        <w:rPr>
          <w:rFonts w:ascii="Garamond" w:hAnsi="Garamond"/>
          <w:b/>
          <w:color w:val="000000" w:themeColor="text1"/>
        </w:rPr>
      </w:pPr>
      <w:r>
        <w:rPr>
          <w:rFonts w:ascii="Garamond" w:hAnsi="Garamond"/>
          <w:b/>
          <w:color w:val="000000" w:themeColor="text1"/>
        </w:rPr>
        <w:t>3</w:t>
      </w:r>
      <w:r w:rsidRPr="008E611E">
        <w:rPr>
          <w:rFonts w:ascii="Garamond" w:hAnsi="Garamond"/>
          <w:b/>
          <w:color w:val="000000" w:themeColor="text1"/>
        </w:rPr>
        <w:t xml:space="preserve">. </w:t>
      </w:r>
      <w:r w:rsidRPr="00FD429F">
        <w:rPr>
          <w:rFonts w:ascii="Garamond" w:hAnsi="Garamond"/>
          <w:b/>
          <w:color w:val="000000" w:themeColor="text1"/>
        </w:rPr>
        <w:t>Advisory for Financial Sector Organizations regarding Software as a</w:t>
      </w:r>
      <w:r>
        <w:rPr>
          <w:rFonts w:ascii="Garamond" w:hAnsi="Garamond"/>
          <w:b/>
          <w:color w:val="000000" w:themeColor="text1"/>
        </w:rPr>
        <w:t xml:space="preserve"> </w:t>
      </w:r>
      <w:r w:rsidRPr="00FD429F">
        <w:rPr>
          <w:rFonts w:ascii="Garamond" w:hAnsi="Garamond"/>
          <w:b/>
          <w:color w:val="000000" w:themeColor="text1"/>
        </w:rPr>
        <w:t>Service (SaaS) based solutions</w:t>
      </w:r>
    </w:p>
    <w:p w:rsidR="00E10EB8" w:rsidRDefault="00E10EB8" w:rsidP="00E10EB8">
      <w:pPr>
        <w:shd w:val="clear" w:color="auto" w:fill="FFFFFF"/>
        <w:spacing w:line="276" w:lineRule="auto"/>
        <w:jc w:val="both"/>
        <w:rPr>
          <w:rFonts w:ascii="Garamond" w:hAnsi="Garamond"/>
          <w:color w:val="000000" w:themeColor="text1"/>
        </w:rPr>
      </w:pPr>
    </w:p>
    <w:p w:rsidR="00E10EB8" w:rsidRPr="008E611E" w:rsidRDefault="00E10EB8" w:rsidP="00E10EB8">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SEBI </w:t>
      </w:r>
      <w:r w:rsidRPr="00C5608A">
        <w:rPr>
          <w:rFonts w:ascii="Garamond" w:hAnsi="Garamond"/>
          <w:color w:val="000000" w:themeColor="text1"/>
        </w:rPr>
        <w:t>referred to an advisory issued by the Indian Computer Emergency Response Team (CERT-in) for financial sector organisations</w:t>
      </w:r>
      <w:r>
        <w:rPr>
          <w:rFonts w:ascii="Garamond" w:hAnsi="Garamond"/>
          <w:color w:val="000000" w:themeColor="text1"/>
        </w:rPr>
        <w:t xml:space="preserve"> and them </w:t>
      </w:r>
      <w:r w:rsidRPr="003A26F3">
        <w:rPr>
          <w:rFonts w:ascii="Garamond" w:hAnsi="Garamond"/>
          <w:color w:val="000000" w:themeColor="text1"/>
        </w:rPr>
        <w:t>to ensure compliance with a CERT-In advisory regarding software as a service (SaaS)-based solutions.</w:t>
      </w:r>
      <w:r>
        <w:rPr>
          <w:rFonts w:ascii="Garamond" w:hAnsi="Garamond"/>
          <w:color w:val="000000" w:themeColor="text1"/>
        </w:rPr>
        <w:t xml:space="preserve">  </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429F">
        <w:rPr>
          <w:rFonts w:ascii="Garamond" w:hAnsi="Garamond"/>
          <w:b/>
          <w:color w:val="000000" w:themeColor="text1"/>
        </w:rPr>
        <w:t>SEBI/HO/MIRSD2/DOR/CIR/P/2020/221</w:t>
      </w:r>
      <w:r w:rsidRPr="008E611E">
        <w:rPr>
          <w:rFonts w:ascii="Garamond" w:hAnsi="Garamond"/>
          <w:b/>
          <w:color w:val="000000" w:themeColor="text1"/>
        </w:rPr>
        <w:t xml:space="preserve"> dated </w:t>
      </w:r>
      <w:r w:rsidRPr="00FD429F">
        <w:rPr>
          <w:rFonts w:ascii="Garamond" w:hAnsi="Garamond"/>
          <w:b/>
          <w:color w:val="000000" w:themeColor="text1"/>
        </w:rPr>
        <w:t>November</w:t>
      </w:r>
      <w:r>
        <w:rPr>
          <w:rFonts w:ascii="Garamond" w:hAnsi="Garamond"/>
          <w:b/>
          <w:color w:val="000000" w:themeColor="text1"/>
        </w:rPr>
        <w:t xml:space="preserve"> 0</w:t>
      </w:r>
      <w:r w:rsidRPr="00FD429F">
        <w:rPr>
          <w:rFonts w:ascii="Garamond" w:hAnsi="Garamond"/>
          <w:b/>
          <w:color w:val="000000" w:themeColor="text1"/>
        </w:rPr>
        <w:t>3, 2020</w:t>
      </w:r>
    </w:p>
    <w:p w:rsidR="00E10EB8" w:rsidRDefault="00E10EB8" w:rsidP="00E10EB8">
      <w:pPr>
        <w:jc w:val="both"/>
        <w:rPr>
          <w:rFonts w:ascii="Palatino Linotype" w:hAnsi="Palatino Linotype"/>
          <w:b/>
          <w:sz w:val="28"/>
          <w:szCs w:val="36"/>
          <w:u w:val="single"/>
        </w:rPr>
      </w:pPr>
    </w:p>
    <w:p w:rsidR="00E10EB8" w:rsidRPr="008E611E" w:rsidRDefault="00E10EB8" w:rsidP="00E10EB8">
      <w:pPr>
        <w:shd w:val="clear" w:color="auto" w:fill="FFFFFF"/>
        <w:spacing w:line="276" w:lineRule="auto"/>
        <w:jc w:val="both"/>
        <w:rPr>
          <w:rFonts w:ascii="Garamond" w:hAnsi="Garamond"/>
          <w:b/>
          <w:color w:val="000000" w:themeColor="text1"/>
        </w:rPr>
      </w:pPr>
      <w:r>
        <w:rPr>
          <w:rFonts w:ascii="Garamond" w:hAnsi="Garamond"/>
          <w:b/>
          <w:color w:val="000000" w:themeColor="text1"/>
        </w:rPr>
        <w:t>4</w:t>
      </w:r>
      <w:r w:rsidRPr="008E611E">
        <w:rPr>
          <w:rFonts w:ascii="Garamond" w:hAnsi="Garamond"/>
          <w:b/>
          <w:color w:val="000000" w:themeColor="text1"/>
        </w:rPr>
        <w:t xml:space="preserve">. </w:t>
      </w:r>
      <w:r w:rsidRPr="00FD429F">
        <w:rPr>
          <w:rFonts w:ascii="Garamond" w:hAnsi="Garamond"/>
          <w:b/>
          <w:color w:val="000000" w:themeColor="text1"/>
        </w:rPr>
        <w:t>Guidelines</w:t>
      </w:r>
      <w:r>
        <w:rPr>
          <w:rFonts w:ascii="Garamond" w:hAnsi="Garamond"/>
          <w:b/>
          <w:color w:val="000000" w:themeColor="text1"/>
        </w:rPr>
        <w:t xml:space="preserve"> </w:t>
      </w:r>
      <w:r w:rsidRPr="00FD429F">
        <w:rPr>
          <w:rFonts w:ascii="Garamond" w:hAnsi="Garamond"/>
          <w:b/>
          <w:color w:val="000000" w:themeColor="text1"/>
        </w:rPr>
        <w:t>for rights issue of units by an unlisted</w:t>
      </w:r>
      <w:r>
        <w:rPr>
          <w:rFonts w:ascii="Garamond" w:hAnsi="Garamond"/>
          <w:b/>
          <w:color w:val="000000" w:themeColor="text1"/>
        </w:rPr>
        <w:t xml:space="preserve"> </w:t>
      </w:r>
      <w:r w:rsidRPr="00FD429F">
        <w:rPr>
          <w:rFonts w:ascii="Garamond" w:hAnsi="Garamond"/>
          <w:b/>
          <w:color w:val="000000" w:themeColor="text1"/>
        </w:rPr>
        <w:t>Infrastructure Investment Trust (InvIT)</w:t>
      </w:r>
    </w:p>
    <w:p w:rsidR="00E10EB8" w:rsidRDefault="00E10EB8" w:rsidP="00E10EB8">
      <w:pPr>
        <w:shd w:val="clear" w:color="auto" w:fill="FFFFFF"/>
        <w:spacing w:line="276" w:lineRule="auto"/>
        <w:jc w:val="both"/>
        <w:rPr>
          <w:rFonts w:ascii="Garamond" w:hAnsi="Garamond"/>
          <w:color w:val="000000" w:themeColor="text1"/>
        </w:rPr>
      </w:pPr>
    </w:p>
    <w:p w:rsidR="00E10EB8" w:rsidRDefault="00E10EB8" w:rsidP="00E10EB8">
      <w:pPr>
        <w:shd w:val="clear" w:color="auto" w:fill="FFFFFF"/>
        <w:spacing w:line="276" w:lineRule="auto"/>
        <w:jc w:val="both"/>
        <w:rPr>
          <w:rFonts w:ascii="Garamond" w:hAnsi="Garamond"/>
          <w:color w:val="000000" w:themeColor="text1"/>
        </w:rPr>
      </w:pPr>
      <w:r>
        <w:rPr>
          <w:rFonts w:ascii="Garamond" w:hAnsi="Garamond"/>
          <w:color w:val="000000" w:themeColor="text1"/>
        </w:rPr>
        <w:t>SEBI allowed unlisted infrastructure investment trusts (InvITs) to raise funds through rights issue of their units.  SEBI has issued detailed guidelines for raising funds through this route.  The guidelines prescribed conditions for issuance of units, guidelines on pricing as well as manner of issuance of units.</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429F">
        <w:rPr>
          <w:rFonts w:ascii="Garamond" w:hAnsi="Garamond"/>
          <w:b/>
          <w:color w:val="000000" w:themeColor="text1"/>
        </w:rPr>
        <w:t>SEBI/HO/DDHS/DDHS/CIR/P/2020/223</w:t>
      </w:r>
      <w:r w:rsidRPr="008E611E">
        <w:rPr>
          <w:rFonts w:ascii="Garamond" w:hAnsi="Garamond"/>
          <w:b/>
          <w:color w:val="000000" w:themeColor="text1"/>
        </w:rPr>
        <w:t xml:space="preserve"> dated </w:t>
      </w:r>
      <w:r w:rsidRPr="00FD429F">
        <w:rPr>
          <w:rFonts w:ascii="Garamond" w:hAnsi="Garamond"/>
          <w:b/>
          <w:color w:val="000000" w:themeColor="text1"/>
        </w:rPr>
        <w:t>November</w:t>
      </w:r>
      <w:r>
        <w:rPr>
          <w:rFonts w:ascii="Garamond" w:hAnsi="Garamond"/>
          <w:b/>
          <w:color w:val="000000" w:themeColor="text1"/>
        </w:rPr>
        <w:t xml:space="preserve"> 04</w:t>
      </w:r>
      <w:r w:rsidRPr="00FD429F">
        <w:rPr>
          <w:rFonts w:ascii="Garamond" w:hAnsi="Garamond"/>
          <w:b/>
          <w:color w:val="000000" w:themeColor="text1"/>
        </w:rPr>
        <w:t>, 2020</w:t>
      </w:r>
    </w:p>
    <w:p w:rsidR="00E10EB8" w:rsidRDefault="00E10EB8" w:rsidP="00E10EB8">
      <w:pPr>
        <w:jc w:val="both"/>
        <w:rPr>
          <w:rFonts w:ascii="Palatino Linotype" w:hAnsi="Palatino Linotype"/>
          <w:b/>
          <w:sz w:val="28"/>
          <w:szCs w:val="36"/>
          <w:u w:val="single"/>
        </w:rPr>
      </w:pPr>
    </w:p>
    <w:p w:rsidR="00E10EB8" w:rsidRPr="008E611E" w:rsidRDefault="00E10EB8" w:rsidP="00E10EB8">
      <w:pPr>
        <w:shd w:val="clear" w:color="auto" w:fill="FFFFFF"/>
        <w:spacing w:line="276" w:lineRule="auto"/>
        <w:jc w:val="both"/>
        <w:rPr>
          <w:rFonts w:ascii="Garamond" w:hAnsi="Garamond"/>
          <w:b/>
          <w:color w:val="000000" w:themeColor="text1"/>
        </w:rPr>
      </w:pPr>
      <w:r>
        <w:rPr>
          <w:rFonts w:ascii="Garamond" w:hAnsi="Garamond"/>
          <w:b/>
          <w:color w:val="000000" w:themeColor="text1"/>
        </w:rPr>
        <w:t>5</w:t>
      </w:r>
      <w:r w:rsidRPr="008E611E">
        <w:rPr>
          <w:rFonts w:ascii="Garamond" w:hAnsi="Garamond"/>
          <w:b/>
          <w:color w:val="000000" w:themeColor="text1"/>
        </w:rPr>
        <w:t xml:space="preserve">. </w:t>
      </w:r>
      <w:r w:rsidRPr="00FD429F">
        <w:rPr>
          <w:rFonts w:ascii="Garamond" w:hAnsi="Garamond"/>
          <w:b/>
          <w:color w:val="000000" w:themeColor="text1"/>
        </w:rPr>
        <w:t>Enhancement</w:t>
      </w:r>
      <w:r>
        <w:rPr>
          <w:rFonts w:ascii="Garamond" w:hAnsi="Garamond"/>
          <w:b/>
          <w:color w:val="000000" w:themeColor="text1"/>
        </w:rPr>
        <w:t xml:space="preserve"> </w:t>
      </w:r>
      <w:r w:rsidRPr="00FD429F">
        <w:rPr>
          <w:rFonts w:ascii="Garamond" w:hAnsi="Garamond"/>
          <w:b/>
          <w:color w:val="000000" w:themeColor="text1"/>
        </w:rPr>
        <w:t>of Overseas Investment limits</w:t>
      </w:r>
      <w:r>
        <w:rPr>
          <w:rFonts w:ascii="Garamond" w:hAnsi="Garamond"/>
          <w:b/>
          <w:color w:val="000000" w:themeColor="text1"/>
        </w:rPr>
        <w:t xml:space="preserve"> </w:t>
      </w:r>
      <w:r w:rsidRPr="00FD429F">
        <w:rPr>
          <w:rFonts w:ascii="Garamond" w:hAnsi="Garamond"/>
          <w:b/>
          <w:color w:val="000000" w:themeColor="text1"/>
        </w:rPr>
        <w:t>for</w:t>
      </w:r>
      <w:r>
        <w:rPr>
          <w:rFonts w:ascii="Garamond" w:hAnsi="Garamond"/>
          <w:b/>
          <w:color w:val="000000" w:themeColor="text1"/>
        </w:rPr>
        <w:t xml:space="preserve"> </w:t>
      </w:r>
      <w:r w:rsidRPr="00FD429F">
        <w:rPr>
          <w:rFonts w:ascii="Garamond" w:hAnsi="Garamond"/>
          <w:b/>
          <w:color w:val="000000" w:themeColor="text1"/>
        </w:rPr>
        <w:t>Mutual Funds</w:t>
      </w:r>
    </w:p>
    <w:p w:rsidR="00E10EB8" w:rsidRDefault="00E10EB8" w:rsidP="00E10EB8">
      <w:pPr>
        <w:shd w:val="clear" w:color="auto" w:fill="FFFFFF"/>
        <w:spacing w:line="276" w:lineRule="auto"/>
        <w:jc w:val="both"/>
        <w:rPr>
          <w:rFonts w:ascii="Garamond" w:hAnsi="Garamond"/>
          <w:color w:val="000000" w:themeColor="text1"/>
        </w:rPr>
      </w:pPr>
    </w:p>
    <w:p w:rsidR="00E10EB8" w:rsidRDefault="00E10EB8" w:rsidP="00E10EB8">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SEBI has enhanced overseas investment limits per Mutual Fund.  Now Mutual Funds can make overseas investment to a maximum of US $600 million per Mutual Fund, within the overall industry limit of US $ 7 billion.  </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429F">
        <w:rPr>
          <w:rFonts w:ascii="Garamond" w:hAnsi="Garamond"/>
          <w:b/>
          <w:color w:val="000000" w:themeColor="text1"/>
        </w:rPr>
        <w:t>SEBI/HO/IMD/DF3/CIR/P/2020/225</w:t>
      </w:r>
      <w:r>
        <w:rPr>
          <w:rFonts w:ascii="Garamond" w:hAnsi="Garamond"/>
          <w:b/>
          <w:color w:val="000000" w:themeColor="text1"/>
        </w:rPr>
        <w:t xml:space="preserve"> </w:t>
      </w:r>
      <w:r w:rsidRPr="008E611E">
        <w:rPr>
          <w:rFonts w:ascii="Garamond" w:hAnsi="Garamond"/>
          <w:b/>
          <w:color w:val="000000" w:themeColor="text1"/>
        </w:rPr>
        <w:t xml:space="preserve">dated </w:t>
      </w:r>
      <w:r w:rsidRPr="00FD429F">
        <w:rPr>
          <w:rFonts w:ascii="Garamond" w:hAnsi="Garamond"/>
          <w:b/>
          <w:color w:val="000000" w:themeColor="text1"/>
        </w:rPr>
        <w:t>November</w:t>
      </w:r>
      <w:r>
        <w:rPr>
          <w:rFonts w:ascii="Garamond" w:hAnsi="Garamond"/>
          <w:b/>
          <w:color w:val="000000" w:themeColor="text1"/>
        </w:rPr>
        <w:t xml:space="preserve"> 05</w:t>
      </w:r>
      <w:r w:rsidRPr="00FD429F">
        <w:rPr>
          <w:rFonts w:ascii="Garamond" w:hAnsi="Garamond"/>
          <w:b/>
          <w:color w:val="000000" w:themeColor="text1"/>
        </w:rPr>
        <w:t>, 2020</w:t>
      </w:r>
    </w:p>
    <w:p w:rsidR="00E10EB8" w:rsidRDefault="00E10EB8" w:rsidP="00E10EB8">
      <w:pPr>
        <w:jc w:val="both"/>
        <w:rPr>
          <w:rFonts w:ascii="Palatino Linotype" w:hAnsi="Palatino Linotype"/>
          <w:b/>
          <w:sz w:val="28"/>
          <w:szCs w:val="36"/>
          <w:u w:val="single"/>
        </w:rPr>
      </w:pPr>
    </w:p>
    <w:p w:rsidR="00E10EB8" w:rsidRPr="008E611E" w:rsidRDefault="00E10EB8" w:rsidP="00E10EB8">
      <w:pPr>
        <w:shd w:val="clear" w:color="auto" w:fill="FFFFFF"/>
        <w:spacing w:line="276" w:lineRule="auto"/>
        <w:jc w:val="both"/>
        <w:rPr>
          <w:rFonts w:ascii="Garamond" w:hAnsi="Garamond"/>
          <w:b/>
          <w:color w:val="000000" w:themeColor="text1"/>
        </w:rPr>
      </w:pPr>
      <w:r>
        <w:rPr>
          <w:rFonts w:ascii="Garamond" w:hAnsi="Garamond"/>
          <w:b/>
          <w:color w:val="000000" w:themeColor="text1"/>
        </w:rPr>
        <w:t>6</w:t>
      </w:r>
      <w:r w:rsidRPr="008E611E">
        <w:rPr>
          <w:rFonts w:ascii="Garamond" w:hAnsi="Garamond"/>
          <w:b/>
          <w:color w:val="000000" w:themeColor="text1"/>
        </w:rPr>
        <w:t xml:space="preserve">. </w:t>
      </w:r>
      <w:r w:rsidRPr="00FD429F">
        <w:rPr>
          <w:rFonts w:ascii="Garamond" w:hAnsi="Garamond"/>
          <w:b/>
          <w:color w:val="000000" w:themeColor="text1"/>
        </w:rPr>
        <w:t>Investor Grievance Redressal Mechanism</w:t>
      </w:r>
    </w:p>
    <w:p w:rsidR="00E10EB8" w:rsidRDefault="00E10EB8" w:rsidP="00E10EB8">
      <w:pPr>
        <w:shd w:val="clear" w:color="auto" w:fill="FFFFFF"/>
        <w:spacing w:line="276" w:lineRule="auto"/>
        <w:jc w:val="both"/>
        <w:rPr>
          <w:rFonts w:ascii="Garamond" w:hAnsi="Garamond"/>
          <w:color w:val="000000" w:themeColor="text1"/>
        </w:rPr>
      </w:pPr>
    </w:p>
    <w:p w:rsidR="00E10EB8" w:rsidRDefault="00E10EB8" w:rsidP="00E10EB8">
      <w:pPr>
        <w:shd w:val="clear" w:color="auto" w:fill="FFFFFF"/>
        <w:spacing w:line="276" w:lineRule="auto"/>
        <w:jc w:val="both"/>
        <w:rPr>
          <w:rFonts w:ascii="Garamond" w:hAnsi="Garamond"/>
          <w:color w:val="000000" w:themeColor="text1"/>
        </w:rPr>
      </w:pPr>
      <w:r w:rsidRPr="00E737FC">
        <w:rPr>
          <w:rFonts w:ascii="Garamond" w:hAnsi="Garamond"/>
          <w:color w:val="000000" w:themeColor="text1"/>
        </w:rPr>
        <w:t>In order to strengthen the Investor Grievance Redressal Mechanism, based on feedback received from market participants and Working Group constituted for the purpose</w:t>
      </w:r>
      <w:r>
        <w:rPr>
          <w:rFonts w:ascii="Garamond" w:hAnsi="Garamond"/>
          <w:color w:val="000000" w:themeColor="text1"/>
        </w:rPr>
        <w:t xml:space="preserve">, SEBI issued clarification on resolution of complaints to stock exchanges and asked them to ensure that investor grievances are resolved within 15 working  days after receiving such complaints.  </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429F">
        <w:rPr>
          <w:rFonts w:ascii="Garamond" w:hAnsi="Garamond"/>
          <w:b/>
          <w:color w:val="000000" w:themeColor="text1"/>
        </w:rPr>
        <w:t>SEBI</w:t>
      </w:r>
      <w:r>
        <w:rPr>
          <w:sz w:val="20"/>
          <w:szCs w:val="20"/>
          <w:shd w:val="clear" w:color="auto" w:fill="FFFFFF"/>
        </w:rPr>
        <w:t>/</w:t>
      </w:r>
      <w:r w:rsidRPr="00FD429F">
        <w:rPr>
          <w:rFonts w:ascii="Garamond" w:hAnsi="Garamond"/>
          <w:b/>
          <w:color w:val="000000" w:themeColor="text1"/>
        </w:rPr>
        <w:t>HO/MIRSD/DOC/CIR/P/2020/2</w:t>
      </w:r>
      <w:r>
        <w:rPr>
          <w:rFonts w:ascii="Garamond" w:hAnsi="Garamond"/>
          <w:b/>
          <w:color w:val="000000" w:themeColor="text1"/>
        </w:rPr>
        <w:t>26</w:t>
      </w:r>
      <w:r w:rsidRPr="008E611E">
        <w:rPr>
          <w:rFonts w:ascii="Garamond" w:hAnsi="Garamond"/>
          <w:b/>
          <w:color w:val="000000" w:themeColor="text1"/>
        </w:rPr>
        <w:t xml:space="preserve"> dated </w:t>
      </w:r>
      <w:r w:rsidRPr="00FD429F">
        <w:rPr>
          <w:rFonts w:ascii="Garamond" w:hAnsi="Garamond"/>
          <w:b/>
          <w:color w:val="000000" w:themeColor="text1"/>
        </w:rPr>
        <w:t>November</w:t>
      </w:r>
      <w:r>
        <w:rPr>
          <w:rFonts w:ascii="Garamond" w:hAnsi="Garamond"/>
          <w:b/>
          <w:color w:val="000000" w:themeColor="text1"/>
        </w:rPr>
        <w:t xml:space="preserve"> 06</w:t>
      </w:r>
      <w:r w:rsidRPr="00FD429F">
        <w:rPr>
          <w:rFonts w:ascii="Garamond" w:hAnsi="Garamond"/>
          <w:b/>
          <w:color w:val="000000" w:themeColor="text1"/>
        </w:rPr>
        <w:t>, 2020</w:t>
      </w:r>
    </w:p>
    <w:p w:rsidR="00E10EB8" w:rsidRDefault="00E10EB8" w:rsidP="00E10EB8">
      <w:pPr>
        <w:jc w:val="both"/>
        <w:rPr>
          <w:rFonts w:ascii="Palatino Linotype" w:hAnsi="Palatino Linotype"/>
          <w:b/>
          <w:sz w:val="28"/>
          <w:szCs w:val="36"/>
          <w:u w:val="single"/>
        </w:rPr>
      </w:pPr>
    </w:p>
    <w:p w:rsidR="00E10EB8" w:rsidRDefault="00E10EB8" w:rsidP="00E10EB8">
      <w:pPr>
        <w:shd w:val="clear" w:color="auto" w:fill="FFFFFF"/>
        <w:spacing w:line="276" w:lineRule="auto"/>
        <w:jc w:val="both"/>
        <w:rPr>
          <w:rFonts w:ascii="Garamond" w:hAnsi="Garamond"/>
          <w:b/>
          <w:color w:val="000000" w:themeColor="text1"/>
        </w:rPr>
      </w:pPr>
      <w:r>
        <w:rPr>
          <w:rFonts w:ascii="Garamond" w:hAnsi="Garamond"/>
          <w:b/>
          <w:color w:val="000000" w:themeColor="text1"/>
        </w:rPr>
        <w:t>7</w:t>
      </w:r>
      <w:r w:rsidRPr="008E611E">
        <w:rPr>
          <w:rFonts w:ascii="Garamond" w:hAnsi="Garamond"/>
          <w:b/>
          <w:color w:val="000000" w:themeColor="text1"/>
        </w:rPr>
        <w:t xml:space="preserve">. </w:t>
      </w:r>
      <w:r w:rsidRPr="00FD429F">
        <w:rPr>
          <w:rFonts w:ascii="Garamond" w:hAnsi="Garamond"/>
          <w:b/>
          <w:color w:val="000000" w:themeColor="text1"/>
        </w:rPr>
        <w:t>Limited Purpose Clearing Corporation</w:t>
      </w:r>
      <w:r>
        <w:rPr>
          <w:rFonts w:ascii="Garamond" w:hAnsi="Garamond"/>
          <w:b/>
          <w:color w:val="000000" w:themeColor="text1"/>
        </w:rPr>
        <w:t xml:space="preserve"> </w:t>
      </w:r>
      <w:r w:rsidRPr="00FD429F">
        <w:rPr>
          <w:rFonts w:ascii="Garamond" w:hAnsi="Garamond"/>
          <w:b/>
          <w:color w:val="000000" w:themeColor="text1"/>
        </w:rPr>
        <w:t>(LPCC)</w:t>
      </w:r>
    </w:p>
    <w:p w:rsidR="00E10EB8" w:rsidRDefault="00E10EB8" w:rsidP="00E10EB8">
      <w:pPr>
        <w:shd w:val="clear" w:color="auto" w:fill="FFFFFF"/>
        <w:spacing w:line="276" w:lineRule="auto"/>
        <w:jc w:val="both"/>
        <w:rPr>
          <w:rFonts w:ascii="Garamond" w:hAnsi="Garamond"/>
          <w:color w:val="000000" w:themeColor="text1"/>
        </w:rPr>
      </w:pPr>
    </w:p>
    <w:p w:rsidR="00E10EB8" w:rsidRPr="00E737FC" w:rsidRDefault="00E10EB8" w:rsidP="00E10EB8">
      <w:pPr>
        <w:shd w:val="clear" w:color="auto" w:fill="FFFFFF"/>
        <w:spacing w:line="276" w:lineRule="auto"/>
        <w:jc w:val="both"/>
        <w:rPr>
          <w:rFonts w:ascii="Garamond" w:hAnsi="Garamond"/>
          <w:color w:val="000000" w:themeColor="text1"/>
        </w:rPr>
      </w:pPr>
      <w:r w:rsidRPr="00E737FC">
        <w:rPr>
          <w:rFonts w:ascii="Garamond" w:hAnsi="Garamond"/>
          <w:color w:val="000000" w:themeColor="text1"/>
        </w:rPr>
        <w:t xml:space="preserve">SEBI  Board  in  its  meeting held  on  September  29,  2020 permitted setting  up of a LPCC for  clearing  and  settling  repo transactions  in  debt  securities  and  accordingly Securities  Contracts  (Regulation) (Stock  Exchanges  and  Clearing  Corporations)  (Amendment)  Regulations,  2020, have been notified on October 08, 2020. </w:t>
      </w:r>
    </w:p>
    <w:p w:rsidR="00E10EB8" w:rsidRPr="00E737FC" w:rsidRDefault="00E10EB8" w:rsidP="00E10EB8">
      <w:pPr>
        <w:shd w:val="clear" w:color="auto" w:fill="FFFFFF"/>
        <w:spacing w:line="276" w:lineRule="auto"/>
        <w:jc w:val="both"/>
        <w:rPr>
          <w:rFonts w:ascii="Garamond" w:hAnsi="Garamond"/>
          <w:color w:val="000000" w:themeColor="text1"/>
        </w:rPr>
      </w:pPr>
    </w:p>
    <w:p w:rsidR="00E10EB8" w:rsidRPr="00E737FC" w:rsidRDefault="00E10EB8" w:rsidP="00E10EB8">
      <w:pPr>
        <w:shd w:val="clear" w:color="auto" w:fill="FFFFFF"/>
        <w:spacing w:line="276" w:lineRule="auto"/>
        <w:jc w:val="both"/>
        <w:rPr>
          <w:rFonts w:ascii="Garamond" w:hAnsi="Garamond"/>
          <w:color w:val="000000" w:themeColor="text1"/>
        </w:rPr>
      </w:pPr>
      <w:r w:rsidRPr="00E737FC">
        <w:rPr>
          <w:rFonts w:ascii="Garamond" w:hAnsi="Garamond"/>
          <w:color w:val="000000" w:themeColor="text1"/>
        </w:rPr>
        <w:t>Further, the LPCC has been permitted to enter into outsourcing agreements with existing Clearing Corporations for the purpose of using their core and critical IT support infrastructure / activities  for  running  the  core  activities  (transaction process, clearing and settlement) of the LPCC and related operations.</w:t>
      </w:r>
    </w:p>
    <w:p w:rsidR="00E10EB8" w:rsidRDefault="00E10EB8" w:rsidP="00E10EB8">
      <w:pPr>
        <w:shd w:val="clear" w:color="auto" w:fill="FFFFFF"/>
        <w:spacing w:line="276" w:lineRule="auto"/>
        <w:jc w:val="both"/>
        <w:rPr>
          <w:rFonts w:ascii="Garamond" w:hAnsi="Garamond"/>
          <w:color w:val="000000" w:themeColor="text1"/>
        </w:rPr>
      </w:pPr>
    </w:p>
    <w:p w:rsidR="00E10EB8" w:rsidRPr="00E737FC" w:rsidRDefault="00E10EB8" w:rsidP="00E10EB8">
      <w:pPr>
        <w:shd w:val="clear" w:color="auto" w:fill="FFFFFF"/>
        <w:spacing w:line="276" w:lineRule="auto"/>
        <w:jc w:val="both"/>
        <w:rPr>
          <w:rFonts w:ascii="Garamond" w:hAnsi="Garamond"/>
          <w:color w:val="000000" w:themeColor="text1"/>
        </w:rPr>
      </w:pPr>
      <w:r w:rsidRPr="00E737FC">
        <w:rPr>
          <w:rFonts w:ascii="Garamond" w:hAnsi="Garamond"/>
          <w:color w:val="000000" w:themeColor="text1"/>
        </w:rPr>
        <w:t>For  the  purpose  of  execution  of  repo  in  corporate  bonds, LPCC shall enter  into necessary agreements with the Stock Exchanges where it proposes to offer clearing/ settlement  of  repo  transactions and  their  associated  Clearing  Corporations  for continuity purposes.  Additionally, the LPCC has been permitted to have arrangements with any of the existing Clearing Corporations for the purposes of putting in place a BCP and DR mechanism, and Cyber Security</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429F">
        <w:rPr>
          <w:rFonts w:ascii="Garamond" w:hAnsi="Garamond"/>
          <w:b/>
          <w:color w:val="000000" w:themeColor="text1"/>
        </w:rPr>
        <w:t>SEBI/HO/MRD2/DCAP/CIR/P/227</w:t>
      </w:r>
      <w:r w:rsidRPr="008E611E">
        <w:rPr>
          <w:rFonts w:ascii="Garamond" w:hAnsi="Garamond"/>
          <w:b/>
          <w:color w:val="000000" w:themeColor="text1"/>
        </w:rPr>
        <w:t xml:space="preserve"> dated </w:t>
      </w:r>
      <w:r w:rsidRPr="00FD429F">
        <w:rPr>
          <w:rFonts w:ascii="Garamond" w:hAnsi="Garamond"/>
          <w:b/>
          <w:color w:val="000000" w:themeColor="text1"/>
        </w:rPr>
        <w:t>November</w:t>
      </w:r>
      <w:r>
        <w:rPr>
          <w:rFonts w:ascii="Garamond" w:hAnsi="Garamond"/>
          <w:b/>
          <w:color w:val="000000" w:themeColor="text1"/>
        </w:rPr>
        <w:t xml:space="preserve"> 06</w:t>
      </w:r>
      <w:r w:rsidRPr="00FD429F">
        <w:rPr>
          <w:rFonts w:ascii="Garamond" w:hAnsi="Garamond"/>
          <w:b/>
          <w:color w:val="000000" w:themeColor="text1"/>
        </w:rPr>
        <w:t>, 2020</w:t>
      </w:r>
    </w:p>
    <w:p w:rsidR="00E10EB8" w:rsidRDefault="00E10EB8" w:rsidP="00E10EB8">
      <w:pPr>
        <w:jc w:val="both"/>
        <w:rPr>
          <w:rFonts w:ascii="Palatino Linotype" w:hAnsi="Palatino Linotype"/>
          <w:b/>
          <w:sz w:val="28"/>
          <w:szCs w:val="36"/>
          <w:u w:val="single"/>
        </w:rPr>
      </w:pPr>
    </w:p>
    <w:p w:rsidR="00E10EB8" w:rsidRPr="008E611E" w:rsidRDefault="00E10EB8" w:rsidP="00E10EB8">
      <w:pPr>
        <w:shd w:val="clear" w:color="auto" w:fill="FFFFFF"/>
        <w:spacing w:line="276" w:lineRule="auto"/>
        <w:jc w:val="both"/>
        <w:rPr>
          <w:rFonts w:ascii="Garamond" w:hAnsi="Garamond"/>
          <w:b/>
          <w:color w:val="000000" w:themeColor="text1"/>
        </w:rPr>
      </w:pPr>
      <w:r>
        <w:rPr>
          <w:rFonts w:ascii="Garamond" w:hAnsi="Garamond"/>
          <w:b/>
          <w:color w:val="000000" w:themeColor="text1"/>
        </w:rPr>
        <w:t>8</w:t>
      </w:r>
      <w:r w:rsidRPr="008E611E">
        <w:rPr>
          <w:rFonts w:ascii="Garamond" w:hAnsi="Garamond"/>
          <w:b/>
          <w:color w:val="000000" w:themeColor="text1"/>
        </w:rPr>
        <w:t xml:space="preserve">. </w:t>
      </w:r>
      <w:r>
        <w:rPr>
          <w:rFonts w:ascii="Garamond" w:hAnsi="Garamond"/>
          <w:b/>
          <w:color w:val="000000" w:themeColor="text1"/>
        </w:rPr>
        <w:t xml:space="preserve"> </w:t>
      </w:r>
      <w:r w:rsidRPr="00FD429F">
        <w:rPr>
          <w:rFonts w:ascii="Garamond" w:hAnsi="Garamond"/>
          <w:b/>
          <w:color w:val="000000" w:themeColor="text1"/>
        </w:rPr>
        <w:t>Introduction  of “Flexi  Cap  Fund”</w:t>
      </w:r>
      <w:r>
        <w:rPr>
          <w:rFonts w:ascii="Garamond" w:hAnsi="Garamond"/>
          <w:b/>
          <w:color w:val="000000" w:themeColor="text1"/>
        </w:rPr>
        <w:t xml:space="preserve"> </w:t>
      </w:r>
      <w:r w:rsidRPr="00FD429F">
        <w:rPr>
          <w:rFonts w:ascii="Garamond" w:hAnsi="Garamond"/>
          <w:b/>
          <w:color w:val="000000" w:themeColor="text1"/>
        </w:rPr>
        <w:t>as  a  new  category  under  Equity Schemes</w:t>
      </w:r>
    </w:p>
    <w:p w:rsidR="00E10EB8" w:rsidRDefault="00E10EB8" w:rsidP="00E10EB8">
      <w:pPr>
        <w:shd w:val="clear" w:color="auto" w:fill="FFFFFF"/>
        <w:spacing w:line="276" w:lineRule="auto"/>
        <w:jc w:val="both"/>
        <w:rPr>
          <w:rFonts w:ascii="Garamond" w:hAnsi="Garamond"/>
          <w:color w:val="000000" w:themeColor="text1"/>
        </w:rPr>
      </w:pPr>
    </w:p>
    <w:p w:rsidR="00E10EB8" w:rsidRDefault="00E10EB8" w:rsidP="00E10EB8">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SEBI introduced a category of equity scheme, called Flexi Cap, which will give asset management companies the flexibility to make investments in companies irrespective of the market capitalization.  To give more flexibility to mutual funds and taking into account the recommendations of the Mutual Fund Advisory Committee, a new category named “Flexi Cap Fund” under equity schemes will now be available for fund houses.  </w:t>
      </w:r>
      <w:r w:rsidRPr="00D92DF0">
        <w:rPr>
          <w:rFonts w:ascii="Garamond" w:hAnsi="Garamond"/>
          <w:color w:val="000000" w:themeColor="text1"/>
        </w:rPr>
        <w:t>Mutual  Funds have  the  option  to convert an</w:t>
      </w:r>
      <w:r>
        <w:rPr>
          <w:rFonts w:ascii="Garamond" w:hAnsi="Garamond"/>
          <w:color w:val="000000" w:themeColor="text1"/>
        </w:rPr>
        <w:t xml:space="preserve"> </w:t>
      </w:r>
      <w:r w:rsidRPr="00D92DF0">
        <w:rPr>
          <w:rFonts w:ascii="Garamond" w:hAnsi="Garamond"/>
          <w:color w:val="000000" w:themeColor="text1"/>
        </w:rPr>
        <w:t>existing scheme into</w:t>
      </w:r>
      <w:r>
        <w:rPr>
          <w:rFonts w:ascii="Garamond" w:hAnsi="Garamond"/>
          <w:color w:val="000000" w:themeColor="text1"/>
        </w:rPr>
        <w:t xml:space="preserve"> </w:t>
      </w:r>
      <w:r w:rsidRPr="00D92DF0">
        <w:rPr>
          <w:rFonts w:ascii="Garamond" w:hAnsi="Garamond"/>
          <w:color w:val="000000" w:themeColor="text1"/>
        </w:rPr>
        <w:t>a</w:t>
      </w:r>
      <w:r>
        <w:rPr>
          <w:rFonts w:ascii="Garamond" w:hAnsi="Garamond"/>
          <w:color w:val="000000" w:themeColor="text1"/>
        </w:rPr>
        <w:t xml:space="preserve"> </w:t>
      </w:r>
      <w:r w:rsidRPr="00D92DF0">
        <w:rPr>
          <w:rFonts w:ascii="Garamond" w:hAnsi="Garamond"/>
          <w:color w:val="000000" w:themeColor="text1"/>
        </w:rPr>
        <w:t>Flexi  Cap</w:t>
      </w:r>
      <w:r>
        <w:rPr>
          <w:rFonts w:ascii="Garamond" w:hAnsi="Garamond"/>
          <w:color w:val="000000" w:themeColor="text1"/>
        </w:rPr>
        <w:t xml:space="preserve"> </w:t>
      </w:r>
      <w:r w:rsidRPr="00D92DF0">
        <w:rPr>
          <w:rFonts w:ascii="Garamond" w:hAnsi="Garamond"/>
          <w:color w:val="000000" w:themeColor="text1"/>
        </w:rPr>
        <w:t xml:space="preserve">Fund </w:t>
      </w:r>
      <w:r>
        <w:rPr>
          <w:rFonts w:ascii="Garamond" w:hAnsi="Garamond"/>
          <w:color w:val="000000" w:themeColor="text1"/>
        </w:rPr>
        <w:t xml:space="preserve"> </w:t>
      </w:r>
      <w:r w:rsidRPr="00D92DF0">
        <w:rPr>
          <w:rFonts w:ascii="Garamond" w:hAnsi="Garamond"/>
          <w:color w:val="000000" w:themeColor="text1"/>
        </w:rPr>
        <w:t>subject  to compliance  with  the  requirement  for  change  in  fundamental attributes  of  the  scheme</w:t>
      </w:r>
      <w:r>
        <w:rPr>
          <w:rFonts w:ascii="Garamond" w:hAnsi="Garamond"/>
          <w:color w:val="000000" w:themeColor="text1"/>
        </w:rPr>
        <w:t>.</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429F">
        <w:rPr>
          <w:rFonts w:ascii="Garamond" w:hAnsi="Garamond"/>
          <w:b/>
          <w:color w:val="000000" w:themeColor="text1"/>
        </w:rPr>
        <w:t>SEBI/HO/IMD/DF3/CIR/P/2020/228</w:t>
      </w:r>
      <w:r>
        <w:rPr>
          <w:rFonts w:ascii="Garamond" w:hAnsi="Garamond"/>
          <w:b/>
          <w:color w:val="000000" w:themeColor="text1"/>
        </w:rPr>
        <w:t xml:space="preserve"> </w:t>
      </w:r>
      <w:r w:rsidRPr="008E611E">
        <w:rPr>
          <w:rFonts w:ascii="Garamond" w:hAnsi="Garamond"/>
          <w:b/>
          <w:color w:val="000000" w:themeColor="text1"/>
        </w:rPr>
        <w:t xml:space="preserve">dated </w:t>
      </w:r>
      <w:r w:rsidRPr="00FD429F">
        <w:rPr>
          <w:rFonts w:ascii="Garamond" w:hAnsi="Garamond"/>
          <w:b/>
          <w:color w:val="000000" w:themeColor="text1"/>
        </w:rPr>
        <w:t>November</w:t>
      </w:r>
      <w:r>
        <w:rPr>
          <w:rFonts w:ascii="Garamond" w:hAnsi="Garamond"/>
          <w:b/>
          <w:color w:val="000000" w:themeColor="text1"/>
        </w:rPr>
        <w:t xml:space="preserve"> 06</w:t>
      </w:r>
      <w:r w:rsidRPr="00FD429F">
        <w:rPr>
          <w:rFonts w:ascii="Garamond" w:hAnsi="Garamond"/>
          <w:b/>
          <w:color w:val="000000" w:themeColor="text1"/>
        </w:rPr>
        <w:t>, 2020</w:t>
      </w:r>
    </w:p>
    <w:p w:rsidR="00E10EB8" w:rsidRDefault="00E10EB8" w:rsidP="00E10EB8">
      <w:pPr>
        <w:jc w:val="both"/>
        <w:rPr>
          <w:rFonts w:ascii="Palatino Linotype" w:hAnsi="Palatino Linotype"/>
          <w:b/>
          <w:sz w:val="28"/>
          <w:szCs w:val="36"/>
          <w:u w:val="single"/>
        </w:rPr>
      </w:pPr>
    </w:p>
    <w:p w:rsidR="00E10EB8" w:rsidRPr="008E611E" w:rsidRDefault="00E10EB8" w:rsidP="00E10EB8">
      <w:pPr>
        <w:shd w:val="clear" w:color="auto" w:fill="FFFFFF"/>
        <w:spacing w:line="276" w:lineRule="auto"/>
        <w:jc w:val="both"/>
        <w:rPr>
          <w:rFonts w:ascii="Garamond" w:hAnsi="Garamond"/>
          <w:b/>
          <w:color w:val="000000" w:themeColor="text1"/>
        </w:rPr>
      </w:pPr>
      <w:r>
        <w:rPr>
          <w:rFonts w:ascii="Garamond" w:hAnsi="Garamond"/>
          <w:b/>
          <w:color w:val="000000" w:themeColor="text1"/>
        </w:rPr>
        <w:t>9</w:t>
      </w:r>
      <w:r w:rsidRPr="008E611E">
        <w:rPr>
          <w:rFonts w:ascii="Garamond" w:hAnsi="Garamond"/>
          <w:b/>
          <w:color w:val="000000" w:themeColor="text1"/>
        </w:rPr>
        <w:t xml:space="preserve">. </w:t>
      </w:r>
      <w:r w:rsidRPr="00FD429F">
        <w:rPr>
          <w:rFonts w:ascii="Garamond" w:hAnsi="Garamond"/>
          <w:b/>
          <w:color w:val="000000" w:themeColor="text1"/>
        </w:rPr>
        <w:t>Norms regarding</w:t>
      </w:r>
      <w:r>
        <w:rPr>
          <w:rFonts w:ascii="Garamond" w:hAnsi="Garamond"/>
          <w:b/>
          <w:color w:val="000000" w:themeColor="text1"/>
        </w:rPr>
        <w:t xml:space="preserve"> </w:t>
      </w:r>
      <w:r w:rsidRPr="00FD429F">
        <w:rPr>
          <w:rFonts w:ascii="Garamond" w:hAnsi="Garamond"/>
          <w:b/>
          <w:color w:val="000000" w:themeColor="text1"/>
        </w:rPr>
        <w:t>holding of liquid assets in open ended debt schemes &amp; stress testing of open ended debt schemes</w:t>
      </w:r>
    </w:p>
    <w:p w:rsidR="00E10EB8" w:rsidRDefault="00E10EB8" w:rsidP="00E10EB8">
      <w:pPr>
        <w:shd w:val="clear" w:color="auto" w:fill="FFFFFF"/>
        <w:spacing w:line="276" w:lineRule="auto"/>
        <w:jc w:val="both"/>
        <w:rPr>
          <w:rFonts w:ascii="Garamond" w:hAnsi="Garamond"/>
          <w:color w:val="000000" w:themeColor="text1"/>
        </w:rPr>
      </w:pPr>
      <w:r>
        <w:rPr>
          <w:rFonts w:ascii="Garamond" w:hAnsi="Garamond"/>
          <w:color w:val="000000" w:themeColor="text1"/>
        </w:rPr>
        <w:t xml:space="preserve">SEBI has mandated that debt funds hold at least 10% of their assets in liquid instruments like cash, government securities (G-Secs), treasury bills and repo on G-Secs.   SEBI also mandated debt schemes to conduct stress testing. </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FD429F">
        <w:rPr>
          <w:rFonts w:ascii="Garamond" w:hAnsi="Garamond"/>
          <w:b/>
          <w:color w:val="000000" w:themeColor="text1"/>
        </w:rPr>
        <w:t>SEBI/HO/IMD/DF3/CIR/P/2020/229</w:t>
      </w:r>
      <w:r w:rsidRPr="008E611E">
        <w:rPr>
          <w:rFonts w:ascii="Garamond" w:hAnsi="Garamond"/>
          <w:b/>
          <w:color w:val="000000" w:themeColor="text1"/>
        </w:rPr>
        <w:t xml:space="preserve"> dated </w:t>
      </w:r>
      <w:r w:rsidRPr="00FD429F">
        <w:rPr>
          <w:rFonts w:ascii="Garamond" w:hAnsi="Garamond"/>
          <w:b/>
          <w:color w:val="000000" w:themeColor="text1"/>
        </w:rPr>
        <w:t>November</w:t>
      </w:r>
      <w:r>
        <w:rPr>
          <w:rFonts w:ascii="Garamond" w:hAnsi="Garamond"/>
          <w:b/>
          <w:color w:val="000000" w:themeColor="text1"/>
        </w:rPr>
        <w:t xml:space="preserve"> 06</w:t>
      </w:r>
      <w:r w:rsidRPr="00FD429F">
        <w:rPr>
          <w:rFonts w:ascii="Garamond" w:hAnsi="Garamond"/>
          <w:b/>
          <w:color w:val="000000" w:themeColor="text1"/>
        </w:rPr>
        <w:t>, 2020</w:t>
      </w:r>
    </w:p>
    <w:p w:rsidR="00E10EB8" w:rsidRDefault="00E10EB8" w:rsidP="00E10EB8">
      <w:pPr>
        <w:shd w:val="clear" w:color="auto" w:fill="FFFFFF"/>
        <w:spacing w:line="276" w:lineRule="auto"/>
        <w:jc w:val="both"/>
        <w:rPr>
          <w:rFonts w:ascii="Palatino Linotype" w:hAnsi="Palatino Linotype"/>
          <w:color w:val="000000"/>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1</w:t>
      </w:r>
      <w:r>
        <w:rPr>
          <w:rFonts w:ascii="Garamond" w:hAnsi="Garamond"/>
          <w:b/>
          <w:color w:val="000000" w:themeColor="text1"/>
        </w:rPr>
        <w:t>0</w:t>
      </w:r>
      <w:r w:rsidRPr="008E611E">
        <w:rPr>
          <w:rFonts w:ascii="Garamond" w:hAnsi="Garamond"/>
          <w:b/>
          <w:color w:val="000000" w:themeColor="text1"/>
        </w:rPr>
        <w:t xml:space="preserve">. </w:t>
      </w:r>
      <w:r w:rsidRPr="00C91087">
        <w:rPr>
          <w:rFonts w:ascii="Garamond" w:hAnsi="Garamond"/>
          <w:b/>
          <w:color w:val="000000" w:themeColor="text1"/>
        </w:rPr>
        <w:t>Monitoring and Disclosures by Debenture Trustee(s)</w:t>
      </w:r>
    </w:p>
    <w:p w:rsidR="00E10EB8" w:rsidRDefault="00E10EB8" w:rsidP="00E10EB8">
      <w:pPr>
        <w:shd w:val="clear" w:color="auto" w:fill="FFFFFF"/>
        <w:spacing w:line="276" w:lineRule="auto"/>
        <w:jc w:val="both"/>
        <w:rPr>
          <w:rFonts w:ascii="Garamond" w:hAnsi="Garamond"/>
          <w:color w:val="000000" w:themeColor="text1"/>
        </w:rPr>
      </w:pPr>
    </w:p>
    <w:p w:rsidR="00E10EB8" w:rsidRDefault="00E10EB8" w:rsidP="00E10EB8">
      <w:pPr>
        <w:shd w:val="clear" w:color="auto" w:fill="FFFFFF"/>
        <w:spacing w:line="276" w:lineRule="auto"/>
        <w:jc w:val="both"/>
        <w:rPr>
          <w:rFonts w:ascii="Garamond" w:hAnsi="Garamond"/>
          <w:color w:val="000000" w:themeColor="text1"/>
        </w:rPr>
      </w:pPr>
      <w:r>
        <w:rPr>
          <w:rFonts w:ascii="Garamond" w:hAnsi="Garamond"/>
          <w:color w:val="000000" w:themeColor="text1"/>
        </w:rPr>
        <w:t>SEBI laid down a disclosure framework as well as guidelines to monitor the asset cover of debenture trustees.  The framework will become effective from the quarter ended December 31, 2020 for the listed debt securities.</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C91087">
        <w:rPr>
          <w:rFonts w:ascii="Garamond" w:hAnsi="Garamond"/>
          <w:b/>
          <w:color w:val="000000" w:themeColor="text1"/>
        </w:rPr>
        <w:t>SEBI/HO/MIRSD</w:t>
      </w:r>
      <w:r>
        <w:rPr>
          <w:rFonts w:ascii="Garamond" w:hAnsi="Garamond"/>
          <w:b/>
          <w:color w:val="000000" w:themeColor="text1"/>
        </w:rPr>
        <w:t>/</w:t>
      </w:r>
      <w:r w:rsidRPr="00C91087">
        <w:rPr>
          <w:rFonts w:ascii="Garamond" w:hAnsi="Garamond"/>
          <w:b/>
          <w:color w:val="000000" w:themeColor="text1"/>
        </w:rPr>
        <w:t>CRADT/CIR/P/2020/23</w:t>
      </w:r>
      <w:r w:rsidRPr="008E611E">
        <w:rPr>
          <w:rFonts w:ascii="Garamond" w:hAnsi="Garamond"/>
          <w:b/>
          <w:color w:val="000000" w:themeColor="text1"/>
        </w:rPr>
        <w:t xml:space="preserve"> dated </w:t>
      </w:r>
      <w:r w:rsidRPr="00FD429F">
        <w:rPr>
          <w:rFonts w:ascii="Garamond" w:hAnsi="Garamond"/>
          <w:b/>
          <w:color w:val="000000" w:themeColor="text1"/>
        </w:rPr>
        <w:t>November</w:t>
      </w:r>
      <w:r>
        <w:rPr>
          <w:rFonts w:ascii="Garamond" w:hAnsi="Garamond"/>
          <w:b/>
          <w:color w:val="000000" w:themeColor="text1"/>
        </w:rPr>
        <w:t xml:space="preserve"> 12</w:t>
      </w:r>
      <w:r w:rsidRPr="00FD429F">
        <w:rPr>
          <w:rFonts w:ascii="Garamond" w:hAnsi="Garamond"/>
          <w:b/>
          <w:color w:val="000000" w:themeColor="text1"/>
        </w:rPr>
        <w:t>, 2020</w:t>
      </w:r>
    </w:p>
    <w:p w:rsidR="00E10EB8" w:rsidRDefault="00E10EB8" w:rsidP="00E10EB8">
      <w:pPr>
        <w:jc w:val="center"/>
        <w:rPr>
          <w:rFonts w:ascii="Palatino Linotype" w:hAnsi="Palatino Linotype"/>
          <w:b/>
          <w:sz w:val="28"/>
          <w:szCs w:val="36"/>
          <w:u w:val="single"/>
        </w:rPr>
      </w:pPr>
    </w:p>
    <w:p w:rsidR="00E10EB8" w:rsidRPr="00FD429F" w:rsidRDefault="00E10EB8" w:rsidP="00E10EB8">
      <w:pPr>
        <w:shd w:val="clear" w:color="auto" w:fill="FFFFFF"/>
        <w:spacing w:line="276" w:lineRule="auto"/>
        <w:jc w:val="both"/>
        <w:rPr>
          <w:rFonts w:ascii="Garamond" w:hAnsi="Garamond"/>
          <w:b/>
          <w:color w:val="000000" w:themeColor="text1"/>
        </w:rPr>
      </w:pPr>
      <w:r>
        <w:rPr>
          <w:rFonts w:ascii="Garamond" w:hAnsi="Garamond"/>
          <w:b/>
          <w:color w:val="000000" w:themeColor="text1"/>
        </w:rPr>
        <w:t>11</w:t>
      </w:r>
      <w:r w:rsidRPr="008E611E">
        <w:rPr>
          <w:rFonts w:ascii="Garamond" w:hAnsi="Garamond"/>
          <w:b/>
          <w:color w:val="000000" w:themeColor="text1"/>
        </w:rPr>
        <w:t xml:space="preserve">. </w:t>
      </w:r>
      <w:r w:rsidRPr="00C91087">
        <w:rPr>
          <w:rFonts w:ascii="Garamond" w:hAnsi="Garamond"/>
          <w:b/>
          <w:color w:val="000000" w:themeColor="text1"/>
        </w:rPr>
        <w:t>Non-compliance with provisions related to continuous disclosures</w:t>
      </w:r>
    </w:p>
    <w:p w:rsidR="00E10EB8" w:rsidRDefault="00E10EB8" w:rsidP="00E10EB8">
      <w:pPr>
        <w:shd w:val="clear" w:color="auto" w:fill="FFFFFF"/>
        <w:spacing w:line="276" w:lineRule="auto"/>
        <w:jc w:val="both"/>
        <w:rPr>
          <w:rFonts w:ascii="Garamond" w:hAnsi="Garamond"/>
          <w:color w:val="000000" w:themeColor="text1"/>
        </w:rPr>
      </w:pPr>
    </w:p>
    <w:p w:rsidR="00E10EB8" w:rsidRPr="009D4EA9" w:rsidRDefault="00E10EB8" w:rsidP="00E10EB8">
      <w:pPr>
        <w:shd w:val="clear" w:color="auto" w:fill="FFFFFF"/>
        <w:spacing w:line="276" w:lineRule="auto"/>
        <w:jc w:val="both"/>
        <w:rPr>
          <w:rFonts w:ascii="Garamond" w:hAnsi="Garamond"/>
          <w:color w:val="000000" w:themeColor="text1"/>
        </w:rPr>
      </w:pPr>
      <w:r w:rsidRPr="009D4EA9">
        <w:rPr>
          <w:rFonts w:ascii="Garamond" w:hAnsi="Garamond"/>
          <w:color w:val="000000" w:themeColor="text1"/>
        </w:rPr>
        <w:t>In order to ensure effective enforcement of continuous disclosure obligations by issuers of listed debt securities, S</w:t>
      </w:r>
      <w:r>
        <w:rPr>
          <w:rFonts w:ascii="Garamond" w:hAnsi="Garamond"/>
          <w:color w:val="000000" w:themeColor="text1"/>
        </w:rPr>
        <w:t xml:space="preserve">EBI prescribed </w:t>
      </w:r>
      <w:r w:rsidRPr="009D4EA9">
        <w:rPr>
          <w:rFonts w:ascii="Garamond" w:hAnsi="Garamond"/>
          <w:color w:val="000000" w:themeColor="text1"/>
        </w:rPr>
        <w:t>uniform structure for imposing fines for non-compliance with disclosure requirements.</w:t>
      </w:r>
    </w:p>
    <w:p w:rsidR="00E10EB8" w:rsidRPr="009D4EA9" w:rsidRDefault="00E10EB8" w:rsidP="00E10EB8">
      <w:pPr>
        <w:shd w:val="clear" w:color="auto" w:fill="FFFFFF"/>
        <w:spacing w:line="276" w:lineRule="auto"/>
        <w:jc w:val="both"/>
        <w:rPr>
          <w:rFonts w:ascii="Garamond" w:hAnsi="Garamond"/>
          <w:color w:val="000000" w:themeColor="text1"/>
        </w:rPr>
      </w:pPr>
    </w:p>
    <w:p w:rsidR="00E10EB8" w:rsidRDefault="00E10EB8" w:rsidP="00E10EB8">
      <w:pPr>
        <w:shd w:val="clear" w:color="auto" w:fill="FFFFFF"/>
        <w:spacing w:line="276" w:lineRule="auto"/>
        <w:jc w:val="both"/>
        <w:rPr>
          <w:rFonts w:ascii="Garamond" w:hAnsi="Garamond"/>
          <w:color w:val="000000" w:themeColor="text1"/>
        </w:rPr>
      </w:pPr>
      <w:r w:rsidRPr="009D4EA9">
        <w:rPr>
          <w:rFonts w:ascii="Garamond" w:hAnsi="Garamond"/>
          <w:color w:val="000000" w:themeColor="text1"/>
        </w:rPr>
        <w:t>The stock exchanges will levy fine</w:t>
      </w:r>
      <w:r>
        <w:rPr>
          <w:rFonts w:ascii="Garamond" w:hAnsi="Garamond"/>
          <w:color w:val="000000" w:themeColor="text1"/>
        </w:rPr>
        <w:t>s</w:t>
      </w:r>
      <w:r w:rsidRPr="009D4EA9">
        <w:rPr>
          <w:rFonts w:ascii="Garamond" w:hAnsi="Garamond"/>
          <w:color w:val="000000" w:themeColor="text1"/>
        </w:rPr>
        <w:t xml:space="preserve"> and take action in case of non-compliance with continuous disclosure requirements by issuers of listed non-convertible debt securities (NCDs), non-convertible redeemable preference shares (NCRPS) and commercial papers</w:t>
      </w:r>
      <w:r>
        <w:rPr>
          <w:rFonts w:ascii="Garamond" w:hAnsi="Garamond"/>
          <w:color w:val="000000" w:themeColor="text1"/>
        </w:rPr>
        <w:t xml:space="preserve">. </w:t>
      </w:r>
    </w:p>
    <w:p w:rsidR="00E10EB8" w:rsidRDefault="00E10EB8" w:rsidP="00E10EB8">
      <w:pPr>
        <w:shd w:val="clear" w:color="auto" w:fill="FFFFFF"/>
        <w:spacing w:line="276" w:lineRule="auto"/>
        <w:jc w:val="both"/>
        <w:rPr>
          <w:rFonts w:ascii="Garamond" w:hAnsi="Garamond"/>
          <w:b/>
          <w:color w:val="000000" w:themeColor="text1"/>
        </w:rPr>
      </w:pPr>
    </w:p>
    <w:p w:rsidR="00E10EB8" w:rsidRPr="008E611E" w:rsidRDefault="00E10EB8" w:rsidP="00E10EB8">
      <w:pPr>
        <w:shd w:val="clear" w:color="auto" w:fill="FFFFFF"/>
        <w:spacing w:line="276" w:lineRule="auto"/>
        <w:jc w:val="both"/>
        <w:rPr>
          <w:rFonts w:ascii="Garamond" w:hAnsi="Garamond"/>
          <w:b/>
          <w:color w:val="000000" w:themeColor="text1"/>
        </w:rPr>
      </w:pPr>
      <w:r w:rsidRPr="008E611E">
        <w:rPr>
          <w:rFonts w:ascii="Garamond" w:hAnsi="Garamond"/>
          <w:b/>
          <w:color w:val="000000" w:themeColor="text1"/>
        </w:rPr>
        <w:t xml:space="preserve">Source: </w:t>
      </w:r>
      <w:r w:rsidRPr="00C91087">
        <w:rPr>
          <w:rFonts w:ascii="Garamond" w:hAnsi="Garamond"/>
          <w:b/>
          <w:color w:val="000000" w:themeColor="text1"/>
        </w:rPr>
        <w:t>SEBI/HO/DDHS/DDHS/CIR/P/2020/231</w:t>
      </w:r>
      <w:r w:rsidRPr="008E611E">
        <w:rPr>
          <w:rFonts w:ascii="Garamond" w:hAnsi="Garamond"/>
          <w:b/>
          <w:color w:val="000000" w:themeColor="text1"/>
        </w:rPr>
        <w:t xml:space="preserve"> dated </w:t>
      </w:r>
      <w:r w:rsidRPr="00FD429F">
        <w:rPr>
          <w:rFonts w:ascii="Garamond" w:hAnsi="Garamond"/>
          <w:b/>
          <w:color w:val="000000" w:themeColor="text1"/>
        </w:rPr>
        <w:t>November</w:t>
      </w:r>
      <w:r>
        <w:rPr>
          <w:rFonts w:ascii="Garamond" w:hAnsi="Garamond"/>
          <w:b/>
          <w:color w:val="000000" w:themeColor="text1"/>
        </w:rPr>
        <w:t xml:space="preserve"> 1</w:t>
      </w:r>
      <w:r w:rsidRPr="00FD429F">
        <w:rPr>
          <w:rFonts w:ascii="Garamond" w:hAnsi="Garamond"/>
          <w:b/>
          <w:color w:val="000000" w:themeColor="text1"/>
        </w:rPr>
        <w:t>3, 2020</w:t>
      </w:r>
    </w:p>
    <w:p w:rsidR="00E10EB8" w:rsidRDefault="00E10EB8" w:rsidP="00E10EB8">
      <w:pPr>
        <w:shd w:val="clear" w:color="auto" w:fill="FFFFFF"/>
        <w:spacing w:line="276" w:lineRule="auto"/>
        <w:jc w:val="both"/>
        <w:rPr>
          <w:rFonts w:ascii="Palatino Linotype" w:hAnsi="Palatino Linotype"/>
          <w:color w:val="000000"/>
        </w:rPr>
      </w:pPr>
    </w:p>
    <w:p w:rsidR="00E10EB8" w:rsidRPr="003A5297" w:rsidRDefault="00E10EB8" w:rsidP="00E10EB8">
      <w:pPr>
        <w:shd w:val="clear" w:color="auto" w:fill="FFFFFF"/>
        <w:spacing w:line="276" w:lineRule="auto"/>
        <w:jc w:val="both"/>
        <w:rPr>
          <w:rFonts w:ascii="Palatino Linotype" w:hAnsi="Palatino Linotype"/>
          <w:b/>
          <w:color w:val="000000" w:themeColor="text1"/>
        </w:rPr>
      </w:pPr>
      <w:r w:rsidRPr="003A5297">
        <w:rPr>
          <w:rFonts w:ascii="Palatino Linotype" w:hAnsi="Palatino Linotype"/>
          <w:b/>
          <w:color w:val="000000" w:themeColor="text1"/>
        </w:rPr>
        <w:t>1</w:t>
      </w:r>
      <w:r>
        <w:rPr>
          <w:rFonts w:ascii="Palatino Linotype" w:hAnsi="Palatino Linotype"/>
          <w:b/>
          <w:color w:val="000000" w:themeColor="text1"/>
        </w:rPr>
        <w:t>2</w:t>
      </w:r>
      <w:r w:rsidRPr="003A5297">
        <w:rPr>
          <w:rFonts w:ascii="Palatino Linotype" w:hAnsi="Palatino Linotype"/>
          <w:b/>
          <w:color w:val="000000" w:themeColor="text1"/>
        </w:rPr>
        <w:t>.   Amendments to Guidelines for Preferential Issue and Institutional Placement of Units by a Listed InvIT</w:t>
      </w:r>
    </w:p>
    <w:p w:rsidR="00E10EB8" w:rsidRDefault="00E10EB8" w:rsidP="00E10EB8">
      <w:pPr>
        <w:shd w:val="clear" w:color="auto" w:fill="FFFFFF"/>
        <w:spacing w:line="276" w:lineRule="auto"/>
        <w:jc w:val="both"/>
        <w:rPr>
          <w:rFonts w:ascii="Palatino Linotype" w:hAnsi="Palatino Linotype"/>
          <w:bCs/>
          <w:color w:val="000000" w:themeColor="text1"/>
        </w:rPr>
      </w:pPr>
    </w:p>
    <w:p w:rsidR="00E10EB8" w:rsidRPr="003A5297" w:rsidRDefault="00E10EB8" w:rsidP="00E10EB8">
      <w:pPr>
        <w:shd w:val="clear" w:color="auto" w:fill="FFFFFF"/>
        <w:spacing w:line="276" w:lineRule="auto"/>
        <w:jc w:val="both"/>
        <w:rPr>
          <w:rFonts w:ascii="Palatino Linotype" w:hAnsi="Palatino Linotype"/>
          <w:bCs/>
          <w:color w:val="000000" w:themeColor="text1"/>
        </w:rPr>
      </w:pPr>
      <w:r w:rsidRPr="003A5297">
        <w:rPr>
          <w:rFonts w:ascii="Palatino Linotype" w:hAnsi="Palatino Linotype"/>
          <w:bCs/>
          <w:color w:val="000000" w:themeColor="text1"/>
        </w:rPr>
        <w:t>Amendments were made to the guidelines for preferential issue and institutional placement of units by a listed InvIT whereby an explanation has been added to the clause 4.1 providing that where any person belonging to sponsor(s) has sold/transferred their units of the issuer during the six months preceding the relevant date, the sponsor(s) shall be ineligible for allotment of units on preferential basis.</w:t>
      </w:r>
    </w:p>
    <w:p w:rsidR="00E10EB8" w:rsidRPr="003A5297" w:rsidRDefault="00E10EB8" w:rsidP="00E10EB8">
      <w:pPr>
        <w:shd w:val="clear" w:color="auto" w:fill="FFFFFF"/>
        <w:spacing w:line="276" w:lineRule="auto"/>
        <w:jc w:val="both"/>
        <w:rPr>
          <w:rFonts w:ascii="Palatino Linotype" w:hAnsi="Palatino Linotype"/>
          <w:b/>
          <w:color w:val="000000" w:themeColor="text1"/>
        </w:rPr>
      </w:pPr>
      <w:r w:rsidRPr="003A5297">
        <w:rPr>
          <w:rFonts w:ascii="Palatino Linotype" w:hAnsi="Palatino Linotype"/>
          <w:b/>
          <w:color w:val="000000" w:themeColor="text1"/>
        </w:rPr>
        <w:t>Source: SEBI/HO/DDHS/DDHS/CIR/P/2020/232 dated November 17, 2020</w:t>
      </w:r>
    </w:p>
    <w:p w:rsidR="00E10EB8" w:rsidRDefault="00E10EB8" w:rsidP="00E10EB8">
      <w:pPr>
        <w:shd w:val="clear" w:color="auto" w:fill="FFFFFF"/>
        <w:spacing w:line="276" w:lineRule="auto"/>
        <w:jc w:val="both"/>
        <w:rPr>
          <w:rFonts w:ascii="Palatino Linotype" w:hAnsi="Palatino Linotype"/>
          <w:color w:val="000000"/>
        </w:rPr>
      </w:pPr>
    </w:p>
    <w:p w:rsidR="00E10EB8" w:rsidRPr="008570C3" w:rsidRDefault="00E10EB8" w:rsidP="00E10EB8">
      <w:pPr>
        <w:shd w:val="clear" w:color="auto" w:fill="FFFFFF"/>
        <w:spacing w:line="276" w:lineRule="auto"/>
        <w:jc w:val="both"/>
        <w:rPr>
          <w:rFonts w:ascii="Palatino Linotype" w:hAnsi="Palatino Linotype"/>
          <w:b/>
          <w:color w:val="000000" w:themeColor="text1"/>
        </w:rPr>
      </w:pPr>
      <w:r w:rsidRPr="008570C3">
        <w:rPr>
          <w:rFonts w:ascii="Palatino Linotype" w:hAnsi="Palatino Linotype"/>
          <w:b/>
          <w:color w:val="000000" w:themeColor="text1"/>
        </w:rPr>
        <w:t>1</w:t>
      </w:r>
      <w:r>
        <w:rPr>
          <w:rFonts w:ascii="Palatino Linotype" w:hAnsi="Palatino Linotype"/>
          <w:b/>
          <w:color w:val="000000" w:themeColor="text1"/>
        </w:rPr>
        <w:t>3</w:t>
      </w:r>
      <w:r w:rsidRPr="008570C3">
        <w:rPr>
          <w:rFonts w:ascii="Palatino Linotype" w:hAnsi="Palatino Linotype"/>
          <w:b/>
          <w:color w:val="000000" w:themeColor="text1"/>
        </w:rPr>
        <w:t>.   Introduction of Unified Payments  Interface  (UPI)  mechanism  and Application  through  Online  interface  and  Streamlining  the  process  of Public issues of securities</w:t>
      </w:r>
    </w:p>
    <w:p w:rsidR="00E10EB8" w:rsidRDefault="00E10EB8" w:rsidP="00E10EB8">
      <w:pPr>
        <w:shd w:val="clear" w:color="auto" w:fill="FFFFFF"/>
        <w:spacing w:line="276" w:lineRule="auto"/>
        <w:jc w:val="both"/>
        <w:rPr>
          <w:rFonts w:ascii="Palatino Linotype" w:hAnsi="Palatino Linotype"/>
          <w:bCs/>
          <w:color w:val="000000" w:themeColor="text1"/>
        </w:rPr>
      </w:pPr>
    </w:p>
    <w:p w:rsidR="00E10EB8" w:rsidRPr="008570C3" w:rsidRDefault="00E10EB8" w:rsidP="00E10EB8">
      <w:pPr>
        <w:shd w:val="clear" w:color="auto" w:fill="FFFFFF"/>
        <w:spacing w:line="276" w:lineRule="auto"/>
        <w:jc w:val="both"/>
        <w:rPr>
          <w:rFonts w:ascii="Palatino Linotype" w:hAnsi="Palatino Linotype"/>
          <w:bCs/>
          <w:color w:val="000000" w:themeColor="text1"/>
        </w:rPr>
      </w:pPr>
      <w:r w:rsidRPr="008570C3">
        <w:rPr>
          <w:rFonts w:ascii="Palatino Linotype" w:hAnsi="Palatino Linotype"/>
          <w:bCs/>
          <w:color w:val="000000" w:themeColor="text1"/>
        </w:rPr>
        <w:t xml:space="preserve">An option has been provided to investors to apply in public issue of debt securities through the online interface of stock exchanges with a facility to block funds through Unified Payments  Interface  </w:t>
      </w:r>
      <w:r w:rsidRPr="008570C3">
        <w:rPr>
          <w:rFonts w:ascii="Palatino Linotype" w:hAnsi="Palatino Linotype"/>
          <w:b/>
          <w:color w:val="000000" w:themeColor="text1"/>
        </w:rPr>
        <w:t>(</w:t>
      </w:r>
      <w:r w:rsidRPr="008570C3">
        <w:rPr>
          <w:rFonts w:ascii="Palatino Linotype" w:hAnsi="Palatino Linotype"/>
          <w:bCs/>
          <w:color w:val="000000" w:themeColor="text1"/>
        </w:rPr>
        <w:t>UPI) mechanism for application value of upto Rs.2 Lakh.  The new option would be applicable to investors for public issue of debt securities which open on or after January 01, 2020.</w:t>
      </w:r>
    </w:p>
    <w:p w:rsidR="00E10EB8" w:rsidRPr="008570C3" w:rsidRDefault="00E10EB8" w:rsidP="00E10EB8">
      <w:pPr>
        <w:shd w:val="clear" w:color="auto" w:fill="FFFFFF"/>
        <w:spacing w:line="276" w:lineRule="auto"/>
        <w:jc w:val="both"/>
        <w:rPr>
          <w:rFonts w:ascii="Palatino Linotype" w:hAnsi="Palatino Linotype"/>
          <w:b/>
          <w:color w:val="000000" w:themeColor="text1"/>
        </w:rPr>
      </w:pPr>
      <w:r w:rsidRPr="008570C3">
        <w:rPr>
          <w:rFonts w:ascii="Palatino Linotype" w:hAnsi="Palatino Linotype"/>
          <w:b/>
          <w:color w:val="000000" w:themeColor="text1"/>
        </w:rPr>
        <w:t>Source: SEBI/HO/DDHS/CIR/P/2020/233 dated November 23, 2020</w:t>
      </w:r>
    </w:p>
    <w:p w:rsidR="00E10EB8" w:rsidRPr="008570C3" w:rsidRDefault="00E10EB8" w:rsidP="00E10EB8">
      <w:pPr>
        <w:jc w:val="both"/>
        <w:rPr>
          <w:rFonts w:ascii="Palatino Linotype" w:hAnsi="Palatino Linotype"/>
          <w:b/>
          <w:sz w:val="28"/>
          <w:szCs w:val="36"/>
          <w:u w:val="single"/>
        </w:rPr>
      </w:pPr>
    </w:p>
    <w:p w:rsidR="00E10EB8" w:rsidRPr="008570C3" w:rsidRDefault="00E10EB8" w:rsidP="00E10EB8">
      <w:pPr>
        <w:shd w:val="clear" w:color="auto" w:fill="FFFFFF"/>
        <w:spacing w:line="276" w:lineRule="auto"/>
        <w:jc w:val="both"/>
        <w:rPr>
          <w:rFonts w:ascii="Palatino Linotype" w:hAnsi="Palatino Linotype"/>
          <w:b/>
          <w:color w:val="000000" w:themeColor="text1"/>
        </w:rPr>
      </w:pPr>
      <w:r>
        <w:rPr>
          <w:rFonts w:ascii="Palatino Linotype" w:hAnsi="Palatino Linotype"/>
          <w:b/>
          <w:color w:val="000000" w:themeColor="text1"/>
        </w:rPr>
        <w:t>14</w:t>
      </w:r>
      <w:r w:rsidRPr="008570C3">
        <w:rPr>
          <w:rFonts w:ascii="Palatino Linotype" w:hAnsi="Palatino Linotype"/>
          <w:b/>
          <w:color w:val="000000" w:themeColor="text1"/>
        </w:rPr>
        <w:t>.   Testing of Software used in or related to Trading and Risk Management</w:t>
      </w:r>
    </w:p>
    <w:p w:rsidR="00E10EB8" w:rsidRDefault="00E10EB8" w:rsidP="00E10EB8">
      <w:pPr>
        <w:shd w:val="clear" w:color="auto" w:fill="FFFFFF"/>
        <w:spacing w:line="276" w:lineRule="auto"/>
        <w:jc w:val="both"/>
        <w:rPr>
          <w:rFonts w:ascii="Palatino Linotype" w:hAnsi="Palatino Linotype"/>
          <w:bCs/>
          <w:color w:val="000000" w:themeColor="text1"/>
        </w:rPr>
      </w:pPr>
    </w:p>
    <w:p w:rsidR="00E10EB8" w:rsidRPr="008570C3" w:rsidRDefault="00E10EB8" w:rsidP="00E10EB8">
      <w:pPr>
        <w:shd w:val="clear" w:color="auto" w:fill="FFFFFF"/>
        <w:spacing w:line="276" w:lineRule="auto"/>
        <w:jc w:val="both"/>
        <w:rPr>
          <w:rFonts w:ascii="Palatino Linotype" w:hAnsi="Palatino Linotype"/>
          <w:bCs/>
          <w:color w:val="000000" w:themeColor="text1"/>
        </w:rPr>
      </w:pPr>
      <w:r w:rsidRPr="008570C3">
        <w:rPr>
          <w:rFonts w:ascii="Palatino Linotype" w:hAnsi="Palatino Linotype"/>
          <w:bCs/>
          <w:color w:val="000000" w:themeColor="text1"/>
        </w:rPr>
        <w:t xml:space="preserve">SEBI relaxed the requirement of mandatory mock trading sessions to facilitate testing of new software or existing software used in or related to trading or risk management that has undergone any change of functionality in certain conditions.  The decision comes after SEBI received various representations from stakeholders seeking relaxation in software testing norms. </w:t>
      </w:r>
    </w:p>
    <w:p w:rsidR="00E10EB8" w:rsidRDefault="00E10EB8" w:rsidP="00E10EB8">
      <w:pPr>
        <w:shd w:val="clear" w:color="auto" w:fill="FFFFFF"/>
        <w:spacing w:line="276" w:lineRule="auto"/>
        <w:jc w:val="both"/>
        <w:rPr>
          <w:rFonts w:ascii="Palatino Linotype" w:hAnsi="Palatino Linotype"/>
          <w:b/>
          <w:color w:val="000000" w:themeColor="text1"/>
        </w:rPr>
      </w:pPr>
    </w:p>
    <w:p w:rsidR="00E10EB8" w:rsidRPr="008570C3" w:rsidRDefault="00E10EB8" w:rsidP="00E10EB8">
      <w:pPr>
        <w:shd w:val="clear" w:color="auto" w:fill="FFFFFF"/>
        <w:spacing w:line="276" w:lineRule="auto"/>
        <w:jc w:val="both"/>
        <w:rPr>
          <w:rFonts w:ascii="Palatino Linotype" w:hAnsi="Palatino Linotype"/>
          <w:b/>
          <w:color w:val="000000" w:themeColor="text1"/>
        </w:rPr>
      </w:pPr>
      <w:r w:rsidRPr="008570C3">
        <w:rPr>
          <w:rFonts w:ascii="Palatino Linotype" w:hAnsi="Palatino Linotype"/>
          <w:b/>
          <w:color w:val="000000" w:themeColor="text1"/>
        </w:rPr>
        <w:t>Source: SEBI/HO/MRD1/DSAP/CIR/P/2020/2 dated November 24, 2020</w:t>
      </w:r>
    </w:p>
    <w:p w:rsidR="00E10EB8" w:rsidRDefault="00E10EB8" w:rsidP="00E10EB8"/>
    <w:p w:rsidR="00E10EB8" w:rsidRDefault="00E10EB8" w:rsidP="00E10EB8"/>
    <w:p w:rsidR="00272724" w:rsidRDefault="00272724" w:rsidP="00272724">
      <w:pPr>
        <w:shd w:val="clear" w:color="auto" w:fill="FFFFFF"/>
        <w:spacing w:line="276" w:lineRule="auto"/>
        <w:jc w:val="both"/>
        <w:rPr>
          <w:rFonts w:ascii="Palatino Linotype" w:hAnsi="Palatino Linotype"/>
          <w:color w:val="000000"/>
        </w:rPr>
      </w:pPr>
    </w:p>
    <w:p w:rsidR="00272724" w:rsidRDefault="00272724">
      <w:pPr>
        <w:rPr>
          <w:rFonts w:ascii="Palatino Linotype" w:hAnsi="Palatino Linotype"/>
          <w:b/>
          <w:bCs/>
        </w:rPr>
      </w:pPr>
      <w:r>
        <w:rPr>
          <w:rFonts w:ascii="Palatino Linotype" w:hAnsi="Palatino Linotype"/>
          <w:b/>
          <w:bCs/>
        </w:rPr>
        <w:br w:type="page"/>
      </w:r>
    </w:p>
    <w:p w:rsidR="00272724" w:rsidRDefault="00272724" w:rsidP="00272724">
      <w:pPr>
        <w:jc w:val="both"/>
        <w:rPr>
          <w:rFonts w:ascii="Palatino Linotype" w:hAnsi="Palatino Linotype"/>
          <w:b/>
          <w:bCs/>
        </w:rPr>
      </w:pPr>
    </w:p>
    <w:p w:rsidR="00272724" w:rsidRPr="004752BB" w:rsidRDefault="00272724" w:rsidP="00272724">
      <w:pPr>
        <w:tabs>
          <w:tab w:val="left" w:pos="8160"/>
        </w:tabs>
        <w:jc w:val="center"/>
        <w:rPr>
          <w:rFonts w:ascii="Palatino Linotype" w:hAnsi="Palatino Linotype"/>
          <w:b/>
          <w:sz w:val="28"/>
          <w:szCs w:val="28"/>
        </w:rPr>
      </w:pPr>
      <w:r w:rsidRPr="004752BB">
        <w:rPr>
          <w:rFonts w:ascii="Palatino Linotype" w:hAnsi="Palatino Linotype"/>
          <w:b/>
          <w:sz w:val="28"/>
          <w:szCs w:val="28"/>
        </w:rPr>
        <w:t>REGULATORY ACTIONS TAKEN BY SEBI</w:t>
      </w:r>
    </w:p>
    <w:p w:rsidR="00272724" w:rsidRDefault="00272724" w:rsidP="00272724">
      <w:pPr>
        <w:rPr>
          <w:rFonts w:ascii="Palatino Linotype" w:hAnsi="Palatino Linotype"/>
          <w:b/>
          <w:sz w:val="40"/>
          <w:szCs w:val="40"/>
        </w:rPr>
      </w:pPr>
    </w:p>
    <w:p w:rsidR="00272724" w:rsidRPr="009E191B" w:rsidRDefault="00272724" w:rsidP="00272724">
      <w:pPr>
        <w:rPr>
          <w:rFonts w:ascii="Palatino Linotype" w:hAnsi="Palatino Linotype"/>
          <w:b/>
        </w:rPr>
      </w:pPr>
      <w:r w:rsidRPr="009E191B">
        <w:rPr>
          <w:rFonts w:ascii="Palatino Linotype" w:hAnsi="Palatino Linotype"/>
          <w:b/>
        </w:rPr>
        <w:t xml:space="preserve">Orders passed by </w:t>
      </w:r>
      <w:r>
        <w:rPr>
          <w:rFonts w:ascii="Palatino Linotype" w:hAnsi="Palatino Linotype"/>
          <w:b/>
        </w:rPr>
        <w:t xml:space="preserve">Whole Time </w:t>
      </w:r>
      <w:r w:rsidRPr="009E191B">
        <w:rPr>
          <w:rFonts w:ascii="Palatino Linotype" w:hAnsi="Palatino Linotype"/>
          <w:b/>
        </w:rPr>
        <w:t>Member</w:t>
      </w:r>
      <w:r>
        <w:rPr>
          <w:rFonts w:ascii="Palatino Linotype" w:hAnsi="Palatino Linotype"/>
          <w:b/>
        </w:rPr>
        <w:t>s:</w:t>
      </w:r>
    </w:p>
    <w:p w:rsidR="00272724" w:rsidRDefault="00272724" w:rsidP="00272724">
      <w:pPr>
        <w:pStyle w:val="ListParagraph"/>
        <w:rPr>
          <w:rFonts w:ascii="Garamond" w:hAnsi="Garamond"/>
          <w:sz w:val="24"/>
          <w:szCs w:val="24"/>
        </w:rPr>
      </w:pPr>
    </w:p>
    <w:p w:rsidR="001A0B06" w:rsidRPr="001A0B06" w:rsidRDefault="00453EDC"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02, 2020, Siya-Ram Agro Industries Ltd (“SRAIL”) </w:t>
      </w:r>
      <w:r w:rsidR="00A947BE">
        <w:rPr>
          <w:rFonts w:ascii="Palatino Linotype" w:eastAsia="Calibri" w:hAnsi="Palatino Linotype"/>
          <w:lang w:val="en-US"/>
        </w:rPr>
        <w:t xml:space="preserve">was directed </w:t>
      </w:r>
      <w:r w:rsidR="001A0B06" w:rsidRPr="001A0B06">
        <w:rPr>
          <w:rFonts w:ascii="Palatino Linotype" w:eastAsia="Calibri" w:hAnsi="Palatino Linotype"/>
          <w:lang w:val="en-US"/>
        </w:rPr>
        <w:t xml:space="preserve">to cease and desist from mobilizing fresh funds from investors through the offer and allotment of any securities to the public and/or invite subscription, in any manner whatsoever, either directly or indirectly. Further, Aslam Sayeed and Amritendu Bhattacharyya were directed not to dispose of, alienate or encumber any of its/their assets or divert any funds raised from public either through the offer and allotment of NCD’s and directed SRAIL, Aslam Sayeed and Amritendu Bhattacharyya to refund money collected through the offer and allotment of NCD’s, jointly and severally, including the application money collected from investors, pending allotment of securities, if any, with an interest of 15% per annum within a period of 180 days from the date of  this order. Further, SRAIL, Aslam Sayeed and Amritendu Bhattacharyya </w:t>
      </w:r>
      <w:r w:rsidR="00A947BE">
        <w:rPr>
          <w:rFonts w:ascii="Palatino Linotype" w:eastAsia="Calibri" w:hAnsi="Palatino Linotype"/>
          <w:lang w:val="en-US"/>
        </w:rPr>
        <w:t xml:space="preserve">were directed </w:t>
      </w:r>
      <w:r w:rsidR="001A0B06" w:rsidRPr="001A0B06">
        <w:rPr>
          <w:rFonts w:ascii="Palatino Linotype" w:eastAsia="Calibri" w:hAnsi="Palatino Linotype"/>
          <w:lang w:val="en-US"/>
        </w:rPr>
        <w:t>to refrain from accessing the securities market by issue of prospectus/offer document/advertisement soliciting money from the public and prohibited them from buying, selling or otherwise dealing in securities in any manner whatsoever, directly or indirectly. Furthermore, they were also restrained from associating themselves with any listed public company and any public company which intends to raise money from the public, or any intermediary registered with SEBI from the date of this order till the expiry of a period of three years from the date of completion of refunds to investors and also directed them to furnish an inventory of their assets to SEBI, within 21 days from the date of receipt of this order, in the matter of Siya-Ram Agro Industries Ltd.</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12, 2020, Indian Infotech and Software Limited Kamal  Nayan Sharma and Mukund  Bhardwaj </w:t>
      </w:r>
      <w:r>
        <w:rPr>
          <w:rFonts w:ascii="Palatino Linotype" w:eastAsia="Calibri" w:hAnsi="Palatino Linotype"/>
          <w:lang w:val="en-US"/>
        </w:rPr>
        <w:t xml:space="preserve">were restrained </w:t>
      </w:r>
      <w:r w:rsidR="001A0B06" w:rsidRPr="001A0B06">
        <w:rPr>
          <w:rFonts w:ascii="Palatino Linotype" w:eastAsia="Calibri" w:hAnsi="Palatino Linotype"/>
          <w:lang w:val="en-US"/>
        </w:rPr>
        <w:t>for a period of 1 year, Harish Joshi for a period of 6 months and Varsha Muraka for a period of 3 months from accessing the securities market and further prohibited from buying, selling or otherwise dealing in securities including units of mutual funds, directly or indirectly, or being associated with the securities market in any manner whatsoever, in the matter of Indian Infotech and Software Limited.</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12, 2020, Vishva Vishal Engineering Ltd. </w:t>
      </w:r>
      <w:r>
        <w:rPr>
          <w:rFonts w:ascii="Palatino Linotype" w:eastAsia="Calibri" w:hAnsi="Palatino Linotype"/>
          <w:lang w:val="en-US"/>
        </w:rPr>
        <w:t>was directed to</w:t>
      </w:r>
      <w:r w:rsidR="001A0B06" w:rsidRPr="001A0B06">
        <w:rPr>
          <w:rFonts w:ascii="Palatino Linotype" w:eastAsia="Calibri" w:hAnsi="Palatino Linotype"/>
          <w:lang w:val="en-US"/>
        </w:rPr>
        <w:t xml:space="preserve"> issue a public announcement in at least one English national daily with wide circulation, one Hindi national daily with wide circulation and one regional language newspaper of the region where the concerned recognized stock exchange, i.e. BSE, is located, disclosing, inter-alia, that the company is 100% promoter held and is seeking delisting from BSE, pursuant to this order, within a period of one month. Vishva Vishal Engineering Ltd. shall approach the Stock Exchange for guidance and the exchange shall do the needful to allow the company to get delisted. The exercise of delisting shall be completed within a period of 6 months from the date of this order in the matter of Delisting of Equity Shares of Vishva Vishal Engineering Ltd.</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12, 2020, Profitsaim and its Proprietor Syed Ayaz </w:t>
      </w:r>
      <w:r>
        <w:rPr>
          <w:rFonts w:ascii="Palatino Linotype" w:eastAsia="Calibri" w:hAnsi="Palatino Linotype"/>
          <w:lang w:val="en-US"/>
        </w:rPr>
        <w:t xml:space="preserve">were directed that they </w:t>
      </w:r>
      <w:r w:rsidR="001A0B06" w:rsidRPr="001A0B06">
        <w:rPr>
          <w:rFonts w:ascii="Palatino Linotype" w:eastAsia="Calibri" w:hAnsi="Palatino Linotype"/>
          <w:lang w:val="en-US"/>
        </w:rPr>
        <w:t xml:space="preserve">shall forth with refund the money received from the clients in respect of the unregistered investment advisory activities and submit a certificate from a peer reviewed Chartered Accountant who is in the panel of any public authority or public institution, within a period of 3 months and the repayments to the clients shall be effected only through Bank Demand Draft or Pay Order, both of which should be crossed as “Non-Transferable”, or through any other appropriate banking channels with clearly identified beneficiaries. </w:t>
      </w:r>
      <w:r>
        <w:rPr>
          <w:rFonts w:ascii="Palatino Linotype" w:eastAsia="Calibri" w:hAnsi="Palatino Linotype"/>
          <w:lang w:val="en-US"/>
        </w:rPr>
        <w:t>F</w:t>
      </w:r>
      <w:r w:rsidR="001A0B06" w:rsidRPr="001A0B06">
        <w:rPr>
          <w:rFonts w:ascii="Palatino Linotype" w:eastAsia="Calibri" w:hAnsi="Palatino Linotype"/>
          <w:lang w:val="en-US"/>
        </w:rPr>
        <w:t>urther directed them not to divert any fees paid by investors, kept in bank account and/ or in their custody, except for the purpose of refunds to the clients. In case of failure to comply with the aforesaid directions, SEBI, on the expiry of three months’ period from the end of the prescribed period, may recover such amounts, as mentioned in this Order, from Profitsaim and its Proprietor Syed Ayaz, in accordance with Section 28A of the SEBI Act, including such other provisions contained in securities laws. Profitsaim and its Proprietor Syed Ayaz prohibited from buying, selling or otherwise dealing in the securities market, directly or indirectly in whatsoever manner, till the expiry of 5 years from the date of refund of the money, as directed, in the matter of Interim Order in the matter of Profitsaim (Prop. Syed Ayaz).</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13, 2020, ASBPL, its directors </w:t>
      </w:r>
      <w:r>
        <w:rPr>
          <w:rFonts w:ascii="Palatino Linotype" w:eastAsia="Calibri" w:hAnsi="Palatino Linotype"/>
          <w:lang w:val="en-US"/>
        </w:rPr>
        <w:t xml:space="preserve">were directed </w:t>
      </w:r>
      <w:r w:rsidR="001A0B06" w:rsidRPr="001A0B06">
        <w:rPr>
          <w:rFonts w:ascii="Palatino Linotype" w:eastAsia="Calibri" w:hAnsi="Palatino Linotype"/>
          <w:lang w:val="en-US"/>
        </w:rPr>
        <w:t>not to dispose of or alienate any assets,  whether movable or immovable, or to create or invoke or release any interest or charge in any of such assets, till the completion of proceedings against  ASBPL under  Section  12(3)  of SEBI Act, 1992 read with SEBI (Intermediaries) Regulations, 2008 and under Sections 11(1), 11(4), 11B(1) &amp; 11D of SEBI Act, 1992; and prohibited  from  providing  any unregistered portfolio management services; and also directed to provide a full inventory of all its assets (including assets under the possession of Receiver appointed by the Hon’ble High Court of Bombay), whether movable or immovable, or any interest or investment or charge in any of such assets, including details of all its bank accounts, demat accounts and mutual fund investments, immediately, to NSE but not later than 5 working days from the date of receipt of this order; in the matter of Anugrah Stock &amp; Broking Private Limited.</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20, 2020, Paresh Nathalal Chauhan and 15 others </w:t>
      </w:r>
      <w:r>
        <w:rPr>
          <w:rFonts w:ascii="Palatino Linotype" w:eastAsia="Calibri" w:hAnsi="Palatino Linotype"/>
          <w:lang w:val="en-US"/>
        </w:rPr>
        <w:t xml:space="preserve">were restrained </w:t>
      </w:r>
      <w:r w:rsidR="001A0B06" w:rsidRPr="001A0B06">
        <w:rPr>
          <w:rFonts w:ascii="Palatino Linotype" w:eastAsia="Calibri" w:hAnsi="Palatino Linotype"/>
          <w:lang w:val="en-US"/>
        </w:rPr>
        <w:t>from accessing the securities market and further prohibited from buying, selling or otherwise dealing in securities, directly or indirectly, or being associated with the securities market in any manner, whatsoever, for a period of two years, from the date of this order. During the period of restraint, the existing holding, including units of mutual funds shall remain frozen. Further, Paresh Nathalal Chauhan and 11 others are directed to disgorge the illegal gains made by them, along with interest at the rate of 12 per cent p.a., within a period of 45 days. In case of failure to pay the disgorgement amount within 45 days, they shall be restrained for a further period of two years, commencing for the end of the debarment period as given in direction, the disgorgement amount with interest, which shall be recovered by SEBI in accordance with Section 28A of the SEBI Act, 1992, in the matter of Timbor Home Limited.</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24, 2020, Amrit Projects Ltd. </w:t>
      </w:r>
      <w:r>
        <w:rPr>
          <w:rFonts w:ascii="Palatino Linotype" w:eastAsia="Calibri" w:hAnsi="Palatino Linotype"/>
          <w:lang w:val="en-US"/>
        </w:rPr>
        <w:t xml:space="preserve">was directed </w:t>
      </w:r>
      <w:r w:rsidR="001A0B06" w:rsidRPr="001A0B06">
        <w:rPr>
          <w:rFonts w:ascii="Palatino Linotype" w:eastAsia="Calibri" w:hAnsi="Palatino Linotype"/>
          <w:lang w:val="en-US"/>
        </w:rPr>
        <w:t>to cease from mobilizing fresh funds from investors through the offer and allotment of any securities to the public and/ or invite subscription, in any manner whatsoever, either directly or indirectly. Further, Amrit Projects Ltd. and its managing director Kailesh Chand Dujari were directed not to dispose of, alienate or encumber any of its/ his assets or divert any funds raised from public either through the offer and allotment of Deep Discount Bonds, and jointly and severally refund the money collected by the company through the offer and allotment of Deep Discount Bonds (Infra Bonds as well as Power Bonds), including the application money collected from investors, pending allotment of securities, if any, with an interest of 15% per annum within a period of 180 days from the date of this order. After completing the aforesaid repayments, Amrit Projects Limited shall file a report of such completion of repayment with SEBI, within a period of 180 days from the date of this order, certified by two independent peer reviewed Chartered Accountants. Furthermore, Amrit Projects Ltd. and its managing director Kailesh Chand Dujari, Kali kishore Bagchi, Nishant Prakash, Debdas Chatterjee, and Sudha Dujari are refrained/prohibited from accessing the securities market by issue of prospectus/ offer document/ advertisement soliciting money from the public and also prohibited from buying, selling or otherwise dealing in securities in any manner whatsoever, directly or indirectly, for a period of four years, in the matter of Amrit Projects Ltd. - Deep Discount Bonds.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ide order dated November 24, 2020, confirmed the directions issued vide ex parte ad interim order dated November 22, 2019, in the matter of Karvy Stock Broking Limited, saying transfer of funds/securities made by the KSBL to its clients subsequent to SEBI order dated November 22, 2019, would not absolve KSBL or its directors from violations of the provisions of the securities laws, as have been found in the forensic audit report received in the matter. The order clarified that confirmation of the directions issued in the ex parte order by the present order shall not in any way come in the way of transfer of the funds/securities, to be made by the KSBL to its clients and KSBL shall not alienate any of its assets, except with the prior permission of NSE till the settlement of claims of the investors or under direction or order by any Court or Tribunal.</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Manish Manubhai Raja and Girishkumar Prabhudas Ruparel </w:t>
      </w:r>
      <w:r>
        <w:rPr>
          <w:rFonts w:ascii="Palatino Linotype" w:eastAsia="Calibri" w:hAnsi="Palatino Linotype"/>
          <w:lang w:val="en-US"/>
        </w:rPr>
        <w:t xml:space="preserve">were restrained </w:t>
      </w:r>
      <w:r w:rsidR="001A0B06" w:rsidRPr="001A0B06">
        <w:rPr>
          <w:rFonts w:ascii="Palatino Linotype" w:eastAsia="Calibri" w:hAnsi="Palatino Linotype"/>
          <w:lang w:val="en-US"/>
        </w:rPr>
        <w:t>from accessing the Securities Market and further prohibit them from buying, selling or otherwise dealing in securities, directly or indirectly in any manner, for a period of 1 year from the date of this order for the violation of Regulations 3 (a), (b), (c), (d) and 4 (1), 4 (2) (a), (e) of PFUTP Regulations, in the matter of Atlanta Infrastructure and Finance Limited.</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Vikramaditya Chandra and Ishwari Prasad Bajpai </w:t>
      </w:r>
      <w:r>
        <w:rPr>
          <w:rFonts w:ascii="Palatino Linotype" w:eastAsia="Calibri" w:hAnsi="Palatino Linotype"/>
          <w:lang w:val="en-US"/>
        </w:rPr>
        <w:t xml:space="preserve">were directed </w:t>
      </w:r>
      <w:r w:rsidR="001A0B06" w:rsidRPr="001A0B06">
        <w:rPr>
          <w:rFonts w:ascii="Palatino Linotype" w:eastAsia="Calibri" w:hAnsi="Palatino Linotype"/>
          <w:lang w:val="en-US"/>
        </w:rPr>
        <w:t xml:space="preserve">to disgorge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6,67,385 (along with interest at the rate of 6 % per annum from April 17, 2008 till the date of actual payment of disgorgement amount) and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8,82,780 (along with interest at the rate of 6 % per annum from March 12 , 2007 till the date of actual payment of disgorgement amount), respectively, within 45 days from the date of this order, for the wrongful gain made by trading in the shares of the New Delhi Television Limited while in possession of UPSI in contravention of section 12A (d), (e) of the SEBI Act, 1992 read with regulation 3(i) and regulation 4 of the PIT Regulations, 1992 and regulation 12 of the SEBI (Prohibition of Insider Trading) Regulations, 2015. Further, restrained Vikramaditya Chandra, Ishwari Prasad Bajpai and Saurav Banerjee from accessing the securities market and were further prohibited from buying, selling or otherwise dealing in securities, directly or indirectly, or being associated with the securities market in any manner, whatsoever, for a period of 1 year, </w:t>
      </w:r>
      <w:hyperlink r:id="rId36" w:tgtFrame="_blank" w:tooltip="Order in the matter of New Delhi Television Limited - Mr. Prannoy Roy and Mrs. Radhika Roy" w:history="1">
        <w:r w:rsidR="001A0B06" w:rsidRPr="001A0B06">
          <w:rPr>
            <w:rFonts w:ascii="Palatino Linotype" w:eastAsia="Calibri" w:hAnsi="Palatino Linotype"/>
            <w:lang w:val="en-US"/>
          </w:rPr>
          <w:t> in the matter of New Delhi Television Limited</w:t>
        </w:r>
      </w:hyperlink>
      <w:r w:rsidR="001A0B06" w:rsidRPr="001A0B06">
        <w:rPr>
          <w:rFonts w:ascii="Palatino Linotype" w:eastAsia="Calibri" w:hAnsi="Palatino Linotype"/>
          <w:lang w:val="en-US"/>
        </w:rPr>
        <w:t>.</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Prenita Dutt, Quantum Securities Private Limited, SAL Real Estate Private Limited and Taj Capital Partners Private Limited </w:t>
      </w:r>
      <w:r>
        <w:rPr>
          <w:rFonts w:ascii="Palatino Linotype" w:eastAsia="Calibri" w:hAnsi="Palatino Linotype"/>
          <w:lang w:val="en-US"/>
        </w:rPr>
        <w:t xml:space="preserve">were directed </w:t>
      </w:r>
      <w:r w:rsidR="001A0B06" w:rsidRPr="001A0B06">
        <w:rPr>
          <w:rFonts w:ascii="Palatino Linotype" w:eastAsia="Calibri" w:hAnsi="Palatino Linotype"/>
          <w:lang w:val="en-US"/>
        </w:rPr>
        <w:t xml:space="preserve">to disgorge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2.2 crore (along with interest at the rate of 6 % per annum from April 17, 2008 till the date of actual payment of disgorgement amount), within 45 days from the date of this order, for the wrongful gain made by trading in the shares of the New Delhi Television Limited while in possession of UPSI in contravention of section 12A (d), (e) of the SEBI Act, 1992 read with regulation 3(i) and regulation 4 of the PIT Regulations, 1992 and Regulation 12 of the SEBI PIT Regulations, 2015. Further, SEBI restrained Sanjay Dutt and four others from accessing the securities market and were further prohibited from buying, selling or otherwise dealing in securities, directly or indirectly, or being associated with the securities market in any manner, whatsoever, for a period of 1 year , </w:t>
      </w:r>
      <w:hyperlink r:id="rId37" w:tgtFrame="_blank" w:tooltip="Order in the matter of New Delhi Television Limited - Mr. Prannoy Roy and Mrs. Radhika Roy" w:history="1">
        <w:r w:rsidR="001A0B06" w:rsidRPr="001A0B06">
          <w:rPr>
            <w:rFonts w:ascii="Palatino Linotype" w:eastAsia="Calibri" w:hAnsi="Palatino Linotype"/>
            <w:lang w:val="en-US"/>
          </w:rPr>
          <w:t> in the matter of New Delhi Television Limited</w:t>
        </w:r>
      </w:hyperlink>
      <w:r w:rsidR="001A0B06" w:rsidRPr="001A0B06">
        <w:rPr>
          <w:rFonts w:ascii="Palatino Linotype" w:eastAsia="Calibri" w:hAnsi="Palatino Linotype"/>
          <w:lang w:val="en-US"/>
        </w:rPr>
        <w:t>.</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A947B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Prannoy Roy and Radhika Roy </w:t>
      </w:r>
      <w:r>
        <w:rPr>
          <w:rFonts w:ascii="Palatino Linotype" w:eastAsia="Calibri" w:hAnsi="Palatino Linotype"/>
          <w:lang w:val="en-US"/>
        </w:rPr>
        <w:t xml:space="preserve">were directed </w:t>
      </w:r>
      <w:r w:rsidR="001A0B06" w:rsidRPr="001A0B06">
        <w:rPr>
          <w:rFonts w:ascii="Palatino Linotype" w:eastAsia="Calibri" w:hAnsi="Palatino Linotype"/>
          <w:lang w:val="en-US"/>
        </w:rPr>
        <w:t xml:space="preserve">to disgorge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16,97,38,335 (along with interest at the rate of 6 % per annum from April 17, 2008 till the date of actual payment of disgorgement amount), jointly or severally, within 45 days from the date of this order, for the wrongful gain made by trading in the shares of the New Delhi Television Limited while in possession of UPSI in contravention of regulation 3(i) and regulation 4 of the PIT Regulations, 1992 and Regulation 12 of the SEBI PIT Regulations, 2015 and section 12A (d), (e) of the SEBI Act, 1992 read. Further, SEBI restrained Sanjay Dutt and four others from accessing the securities market and were further prohibited from buying, selling or otherwise dealing in securities, directly or indirectly, or being associated with the securities market in any manner, whatsoever, for a period of 1 year, </w:t>
      </w:r>
      <w:hyperlink r:id="rId38" w:tgtFrame="_blank" w:tooltip="Order in the matter of New Delhi Television Limited - Mr. Prannoy Roy and Mrs. Radhika Roy" w:history="1">
        <w:r w:rsidR="001A0B06" w:rsidRPr="001A0B06">
          <w:rPr>
            <w:rFonts w:ascii="Palatino Linotype" w:eastAsia="Calibri" w:hAnsi="Palatino Linotype"/>
            <w:lang w:val="en-US"/>
          </w:rPr>
          <w:t> in the matter of New Delhi Television Limited</w:t>
        </w:r>
      </w:hyperlink>
      <w:r w:rsidR="001A0B06" w:rsidRPr="001A0B06">
        <w:rPr>
          <w:rFonts w:ascii="Palatino Linotype" w:eastAsia="Calibri" w:hAnsi="Palatino Linotype"/>
          <w:lang w:val="en-US"/>
        </w:rPr>
        <w:t>.</w:t>
      </w:r>
    </w:p>
    <w:p w:rsidR="001A0B06" w:rsidRPr="001A0B06" w:rsidRDefault="001A0B06" w:rsidP="001A0B06">
      <w:pPr>
        <w:rPr>
          <w:rFonts w:ascii="Garamond" w:hAnsi="Garamond"/>
        </w:rPr>
      </w:pPr>
    </w:p>
    <w:p w:rsidR="00272724" w:rsidRPr="001B7FD3" w:rsidRDefault="00272724" w:rsidP="00272724">
      <w:pPr>
        <w:spacing w:line="276" w:lineRule="auto"/>
        <w:contextualSpacing/>
        <w:jc w:val="both"/>
        <w:rPr>
          <w:rFonts w:ascii="Palatino Linotype" w:hAnsi="Palatino Linotype"/>
          <w:lang w:val="en-US"/>
        </w:rPr>
      </w:pPr>
    </w:p>
    <w:p w:rsidR="00272724" w:rsidRPr="009E191B" w:rsidRDefault="00272724" w:rsidP="00272724">
      <w:pPr>
        <w:spacing w:line="276" w:lineRule="auto"/>
        <w:contextualSpacing/>
        <w:jc w:val="both"/>
        <w:rPr>
          <w:rFonts w:ascii="Palatino Linotype" w:hAnsi="Palatino Linotype"/>
          <w:b/>
          <w:bCs/>
          <w:color w:val="000000"/>
          <w:lang w:val="en-US"/>
        </w:rPr>
      </w:pPr>
      <w:r w:rsidRPr="009E191B">
        <w:rPr>
          <w:rFonts w:ascii="Palatino Linotype" w:hAnsi="Palatino Linotype"/>
          <w:b/>
          <w:bCs/>
          <w:color w:val="000000"/>
          <w:lang w:val="en-US"/>
        </w:rPr>
        <w:t>Orders passed by Adjudicat</w:t>
      </w:r>
      <w:r>
        <w:rPr>
          <w:rFonts w:ascii="Palatino Linotype" w:hAnsi="Palatino Linotype"/>
          <w:b/>
          <w:bCs/>
          <w:color w:val="000000"/>
          <w:lang w:val="en-US"/>
        </w:rPr>
        <w:t>ion</w:t>
      </w:r>
      <w:r w:rsidRPr="009E191B">
        <w:rPr>
          <w:rFonts w:ascii="Palatino Linotype" w:hAnsi="Palatino Linotype"/>
          <w:b/>
          <w:bCs/>
          <w:color w:val="000000"/>
          <w:lang w:val="en-US"/>
        </w:rPr>
        <w:t xml:space="preserve"> Officer</w:t>
      </w:r>
      <w:r>
        <w:rPr>
          <w:rFonts w:ascii="Palatino Linotype" w:hAnsi="Palatino Linotype"/>
          <w:b/>
          <w:bCs/>
          <w:color w:val="000000"/>
          <w:lang w:val="en-US"/>
        </w:rPr>
        <w:t>s:</w:t>
      </w:r>
    </w:p>
    <w:p w:rsidR="00272724" w:rsidRDefault="00272724" w:rsidP="00272724">
      <w:pPr>
        <w:spacing w:line="276" w:lineRule="auto"/>
        <w:contextualSpacing/>
        <w:jc w:val="both"/>
        <w:rPr>
          <w:rFonts w:ascii="Palatino Linotype" w:hAnsi="Palatino Linotype"/>
          <w:color w:val="000000"/>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03,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40,00,000/- (Rupees Forty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jointly and severally on Raghav Capital and Infrastructure Limited and its directors namely Raj Kumar Raghav, Nirmala Raghav and Ritu Verma for violation of Section 12(1B) of the SEBI Act, 1992 and Regulation 3 of the CIS Regulations, 1999.</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03, 20202, a total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3,00,000/- (Rupees Three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Snehal Bharatbhai Patel in the matter of Oasis Tradelink Limited for the violation of Regulation 29(2) read with 29(3) of the SEBI (Substantial Acquisition of Shares and Takeovers) Regulations, 2011(“SAST Regulations”), Regulation 7(2) (b) read with regulation 9(3) SEBI (Prohibition of Insider Trading) Regulations, 2015 (“PIT Regulations”) and Section 11C(3) of the SEBI Act, 1992.</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05,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1,00,000/- (Rupees One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Aaditya Tikmani in the matter of UV Boards Limited for the violation of provisions of the regulation 29(2) read with regulation 29(3) of SAST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06,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3,00,000/- (Rupees Three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Pushpendra Singh in the matter of Sai Prakash Properties Development Limited for the violation of Sections 11C (3) of the SEBI Act.</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06,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3,00,000/- (Rupees Three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Pushpanjali Singh in the matter of Sai Prakash Properties Development Limited for the violation of Sections 11C (3) of the SEBI Act.</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Vide o</w:t>
      </w:r>
      <w:r w:rsidR="001A0B06" w:rsidRPr="001A0B06">
        <w:rPr>
          <w:rFonts w:ascii="Palatino Linotype" w:eastAsia="Calibri" w:hAnsi="Palatino Linotype"/>
          <w:lang w:val="en-US"/>
        </w:rPr>
        <w:t xml:space="preserve">rder dated November 06,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2,00,000/- (Rupees Two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Pushpanjali Singh Baghel in the matter of Sai Prakash Properties Development Limited for the violation of Sections 11C (3) of the SEBI Act.</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06,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2,00,000/- (Rupees Two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Dheerendra Krishan Pratap in the matter of Sai Prakash Properties Development Limited for the violation of Sections 11C (3) of the SEBI Act.</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06, 2020, a total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45,00,000/-(Rupees Forty Five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Aniruddh Parashar and others in the matter of Maa Jagdambe Tradelinks Limited for the violation of regulation 3(a), (b), (c) &amp; (d), and regulation 4(1), 4(2) (a) &amp; (e) of SEBI (Prohibition of Fraudulent and Unfair Trade Practices relating to the Securities Market) Regulations, 2003 (“PFUTP Regulations”).</w:t>
      </w:r>
    </w:p>
    <w:p w:rsidR="00272724" w:rsidRDefault="00272724" w:rsidP="001A0B06">
      <w:pPr>
        <w:spacing w:line="276" w:lineRule="auto"/>
        <w:ind w:left="720"/>
        <w:contextualSpacing/>
        <w:jc w:val="both"/>
        <w:rPr>
          <w:rFonts w:ascii="Palatino Linotype" w:eastAsia="Calibri" w:hAnsi="Palatino Linotype"/>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12,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50,00,000/- (Fifty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M. Srinivasa Reddy in the matter of Farmax India Limited for the violation of Section 12A (a), (b) and (c ) of the SEBI Act read with Regulations 3(a), (b), (c) and (d) and 4(1) of SEBI (Prohibition of Fraudulent and Unfair Trade Practices relating to the Securities Market) Regulations, 2003 (“PFUTP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12,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50,00,000/- (Fifty Lakh Only)</w:t>
      </w:r>
      <w:r>
        <w:rPr>
          <w:rFonts w:ascii="Palatino Linotype" w:eastAsia="Calibri" w:hAnsi="Palatino Linotype"/>
          <w:lang w:val="en-US"/>
        </w:rPr>
        <w:t xml:space="preserve"> imposed </w:t>
      </w:r>
      <w:r w:rsidR="001A0B06" w:rsidRPr="001A0B06">
        <w:rPr>
          <w:rFonts w:ascii="Palatino Linotype" w:eastAsia="Calibri" w:hAnsi="Palatino Linotype"/>
          <w:lang w:val="en-US"/>
        </w:rPr>
        <w:t>on M. Srinivasa Reddy, M.D. of Farmax India Limited in the matter of disclosures by Farmax India Ltd. in respect of its GDR issue for the violation of Section 12A (a), (b) and (c ) of the SEBI Act read with  Regulations 3(a), (b), (c) and (d) and 4(1) of SEBI, PFUTP Regulations.</w:t>
      </w:r>
    </w:p>
    <w:p w:rsid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868D6"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17,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10,00,000/- (Rupees Ten Lakhs only) </w:t>
      </w:r>
      <w:r w:rsidR="00057D3C">
        <w:rPr>
          <w:rFonts w:ascii="Palatino Linotype" w:eastAsia="Calibri" w:hAnsi="Palatino Linotype"/>
          <w:lang w:val="en-US"/>
        </w:rPr>
        <w:t xml:space="preserve">imposed </w:t>
      </w:r>
      <w:r w:rsidR="001A0B06" w:rsidRPr="001A0B06">
        <w:rPr>
          <w:rFonts w:ascii="Palatino Linotype" w:eastAsia="Calibri" w:hAnsi="Palatino Linotype"/>
          <w:lang w:val="en-US"/>
        </w:rPr>
        <w:t>on Inventure Growth and Securities Limited for violation of clause 2.1 &amp; 2.2, clause 7.11, 7.1.2, 2.2.5 and 1.2.1 of Annexure of SEBI Circular no. SEBI/HO/MIRSD/MIRSD2/CIR/P/2016/95 dated September 26, 2016, in the matter of inspection of Inventure Growth and Securities Limited.</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057D3C"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19, 2020, a total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8,00,000/- (Rupees Eight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Savitri Devi Agarwal and three others in the matter of Focus Industrial Resources Limited for the violation of provisions of the Regulation 3 (a), (b), (c), (d), 4(1), 4 (2) (a) &amp; (e) of SEBI (Prohibition of Fraudulent and Unfair Trade Practices relating to the Securities Market) Regulations, 2003 (PFUTP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057D3C"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19,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7,00,000/- (Rupees Seven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Raymond Limited for the violation of Clause 49 (VIII) (D) of the listing agreement as instructed vide SEBI Circular dated April 17, 2014.</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057D3C"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20,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5,00,000/- (Rupees Five lakhs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Saira Amanatali Shaikh in the matter of Hasti Finance Limited for violation of the provisions of Regulations 3 (a), (b), (c), (d), 4 (1), (2) (a) and (e) of PFUTP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057D3C"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20,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15,00,000/- (Rupees Fifteen Lakhs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each on Divyesh Ashwin Sukhadia, Dharmesh Ashwin Sukhadia and Anuj Vipin Sukhadia, in the matter of Paramount Printpackaging Limited for violation of the provisions of Section 12 A (a), (b), (c) of the SEBI Act,1992 and Regulations 3 (b),(c),(d), 4 (1), 4(2) (e), (f), (k), (r) of the SEBI (PFUTP) Regulations and Regulations 57 (1) and 57 (2) (a) r/w Clause 2 (XVI) (B) (2) of part A of schedule VIII and 60 (7) (a) of SEBI (Issue of Capital and Disclosure Requirements) Regulations, 2003 (ICDR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057D3C"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20,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5,00,000/- (Rupees Five lakhs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Abhijeet Chandrahas Asai in the matter of Hasti Finance for violation of the provisions of Regulations 3 (a), (b), (c), (d), 4 (1), (2) (a) and (e) of PFUTP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057D3C"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20, 2020, a total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1,40,00,000/- (Rupees One Crores Forty Lakhs only )</w:t>
      </w:r>
      <w:r>
        <w:rPr>
          <w:rFonts w:ascii="Palatino Linotype" w:eastAsia="Calibri" w:hAnsi="Palatino Linotype"/>
          <w:lang w:val="en-US"/>
        </w:rPr>
        <w:t xml:space="preserve"> imposed </w:t>
      </w:r>
      <w:r w:rsidR="001A0B06" w:rsidRPr="001A0B06">
        <w:rPr>
          <w:rFonts w:ascii="Palatino Linotype" w:eastAsia="Calibri" w:hAnsi="Palatino Linotype"/>
          <w:lang w:val="en-US"/>
        </w:rPr>
        <w:t>on Om Prakash S Jhavar, Pradip J Mundhra and four others in the matter of Tulsi Extrusions Limited for violation of the provisions of Section 12A (a), (b), (c) of SEBI Act,1992 and Regulations 3(a), 3(b), 3(c), 3(d), 4(1), 4(2) (f), 4(2) (k) and 4(2) (r) of SEBI (PFUTP) Regulations, 2003.</w:t>
      </w:r>
    </w:p>
    <w:p w:rsid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057D3C"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23,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2,00,000/- (Rupees Two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Pragnaben Suryakant Shah in the matter of Gala Global Products Limited for the violation of Regulation 7(2) (a) of SEBI (Prohibition of Insider Trading) Regulations, 2015 (PIT Regulations).</w:t>
      </w:r>
      <w:r w:rsidR="001A0B06" w:rsidRPr="001A0B06">
        <w:rPr>
          <w:rFonts w:ascii="Palatino Linotype" w:eastAsia="Calibri" w:hAnsi="Palatino Linotype"/>
          <w:lang w:val="en-US"/>
        </w:rPr>
        <w:tab/>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057D3C"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23,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2,00,000/- (Rupees Two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Anil Kumar Gilra in the matter of Cosboard Industries Ltd., for the violation of Regulation 31 (1) read with Regulation 31 (3) of SEBI (Substantial Acquisition of Shares and Takeovers) Regulations, 2011 (SAST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057D3C"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23,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2,00,000/- (Rupees Two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Harishankar Paper Products P Ltd. in the matter of Cosboard Industries Ltd., for the violation of Regulation 31(1) read with 31(3) of the SAST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23, 2020, a total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3,00,000/- (Rupees Three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 xml:space="preserve">on Nitin Ajage in the matter of Dynamatic Technologies Ltd., for the violation of Regulation 7 (2) (a) of the PIT Regulations, 2015 and Clause 6 of Schedule B read with Regulation 9(1) and (2) of the PIT Regulations, 2015 read with clause 6.1 of the Code of Conduct for Prevention of Insider Trading framed by Dynamatic Technologies Ltd. </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24,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4,00,000/- (Rupees Four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Sunilkumar Bhikhabhai Nayi in the matter of Alora Trading Company Limited for violation of the provisions of Regulations 29(1) and 29(2) read with 29(3) of SAST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24,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5,00,000/- (Rupees Five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R.K. Stockholding Pvt. Ltd. for the violation of SEBI Circular CIR/MRD/DMS/13/2010 dated April 23, 2010, Clause 2.5 of SEBI Circular SEBI/HO/MIRSD/MIRSD2/CIR/P/2016/95 dated Sept 26, 2016, SEBI Circular CIR/HO/MIRSD/MIRSD2/CIR/P/2017/64 dated June 22, 2017, SEBI Circular MIRSD/SE/Cir-19/2009 dated December 3, 2009 r/w Clause A(5) of Code of Conduct specified under Schedule II read with Regulation 9(f) of the SEBI (Stock Brokers &amp; Sub brokers) Regulations, 1992 and SEBI Circular SMD/SED/CIR/93/23321 dated Nov 18, 1993.</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ide order dated November 24, 2020</w:t>
      </w:r>
      <w:r>
        <w:rPr>
          <w:rFonts w:ascii="Palatino Linotype" w:eastAsia="Calibri" w:hAnsi="Palatino Linotype"/>
          <w:lang w:val="en-US"/>
        </w:rPr>
        <w:t>,</w:t>
      </w:r>
      <w:r w:rsidR="001A0B06" w:rsidRPr="001A0B06">
        <w:rPr>
          <w:rFonts w:ascii="Palatino Linotype" w:eastAsia="Calibri" w:hAnsi="Palatino Linotype"/>
          <w:lang w:val="en-US"/>
        </w:rPr>
        <w:t xml:space="preserve"> a total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2,00,00,000/- (Rupees Two Crores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Sthithi Insurance Services Pvt Ltd., and seven others in the matter of Zylog Systems Limited for the violation of Regulation 3(2) of SAST Regulations and Section 12A (f) of SEBI Act, Regulations 3(d) and 4(2) (f) and (r) of SEBI (Prohibition of Fraudulent and Unfair Trade Practices Relating to Securities Market) Regulations, 2003 (“PFUTP Regulations”), and Section 12 (c) of SEBI Act, Regulations 31 (1), 31(2) read with 31(3) of SAST Regulations and Regulation 13 (4A) read with 13(5) of PIT Regulations, 1992 read with Regulations 12 of PIT Regulations, 2015 and Clause 6.15.2 of DIP Guidelines read with SEBI (Issue of Capital and Disclosure Requirements) Regulations, 2009 (“ICDR Regulations 2009”) and ICDR Regulations 2018.</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24, 2020, a total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6,00,000/- (Rupees Six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 xml:space="preserve">on Kiritbhai Nathubhai Vaghani and five others in the matter of Alora Trading Company Limited for violation of the provisions of Regulations 29(2) read with 29(3) of SAST Regulations. </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25,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3,00,000/- (Rupees Three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Crosseas Capital Services Private Limited for violation of the provisions of Regulation 9 (f) read with Clause A (2) of the Code of Conduct as specified in Schedule II of SEBI (Stock Brokers and Sub Brokers) Regulations, 1992 (“SBSB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25, 2020, a total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2,00,000/- (Rrupees Two Lakh Only)</w:t>
      </w:r>
      <w:r>
        <w:rPr>
          <w:rFonts w:ascii="Palatino Linotype" w:eastAsia="Calibri" w:hAnsi="Palatino Linotype"/>
          <w:lang w:val="en-US"/>
        </w:rPr>
        <w:t xml:space="preserve"> imposed</w:t>
      </w:r>
      <w:r w:rsidR="001A0B06" w:rsidRPr="001A0B06">
        <w:rPr>
          <w:rFonts w:ascii="Palatino Linotype" w:eastAsia="Calibri" w:hAnsi="Palatino Linotype"/>
          <w:lang w:val="en-US"/>
        </w:rPr>
        <w:t xml:space="preserve"> on Shreeji Industries Limited, in the matter of Non-Redressal of investor complaints on SCORES and thus the violation of SEBI circulars dated June 03, 2011, August 13, 2012 and April 17, 2013.</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25,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3,00,000/- (Rupees Three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Modern Trading Business Private Limited in the matter of The Byke Hospitlity Limited for the violation of Regulation 29(1) read with Regulation 29(3) of the SAST Regulations, 2011.</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1A0B06" w:rsidP="001A0B06">
      <w:pPr>
        <w:numPr>
          <w:ilvl w:val="0"/>
          <w:numId w:val="17"/>
        </w:numPr>
        <w:spacing w:line="276" w:lineRule="auto"/>
        <w:contextualSpacing/>
        <w:jc w:val="both"/>
        <w:rPr>
          <w:rFonts w:ascii="Palatino Linotype" w:eastAsia="Calibri" w:hAnsi="Palatino Linotype"/>
          <w:lang w:val="en-US"/>
        </w:rPr>
      </w:pPr>
      <w:r w:rsidRPr="001A0B06">
        <w:rPr>
          <w:rFonts w:ascii="Palatino Linotype" w:eastAsia="Calibri" w:hAnsi="Palatino Linotype"/>
          <w:lang w:val="en-US"/>
        </w:rPr>
        <w:t xml:space="preserve">vide an order dated November 25, 2020, a penalty of </w:t>
      </w:r>
      <w:r w:rsidRPr="001A0B06">
        <w:rPr>
          <w:rFonts w:ascii="Tahoma" w:eastAsia="Calibri" w:hAnsi="Tahoma" w:cs="Tahoma"/>
          <w:lang w:val="en-US"/>
        </w:rPr>
        <w:t>₹</w:t>
      </w:r>
      <w:r w:rsidRPr="001A0B06">
        <w:rPr>
          <w:rFonts w:ascii="Palatino Linotype" w:eastAsia="Calibri" w:hAnsi="Palatino Linotype"/>
          <w:lang w:val="en-US"/>
        </w:rPr>
        <w:t xml:space="preserve"> 2,00,000/- (Rupees Two Lakh only) </w:t>
      </w:r>
      <w:r w:rsidR="00E8001E">
        <w:rPr>
          <w:rFonts w:ascii="Palatino Linotype" w:eastAsia="Calibri" w:hAnsi="Palatino Linotype"/>
          <w:lang w:val="en-US"/>
        </w:rPr>
        <w:t xml:space="preserve">imposed </w:t>
      </w:r>
      <w:r w:rsidRPr="001A0B06">
        <w:rPr>
          <w:rFonts w:ascii="Palatino Linotype" w:eastAsia="Calibri" w:hAnsi="Palatino Linotype"/>
          <w:lang w:val="en-US"/>
        </w:rPr>
        <w:t>on Kapstone Constructions Pvt. Ltd., for the violation of Regulation 52 (1) and 52 (4) of SEBI (Listing Obligations and Disclosure Requirement) Regulations, 2015 (“LODR Regulation”).</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25,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10,00,000 (Rupees Ten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Amit Ramesh Sawhney in the matter of Dewan Housing Finance Corporation Ltd., for the violation of Section 12A (d) &amp; (e) of SEBI Act read with Regulation 4(1) of PIT Regulations.</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10,00,00,000/-(Rupees Ten Crore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MPS Infotecnics Ltd., for violation of Section 12A (a), (b) and (c) of SEBI Act, 1992 read with Regulations 3(a), (b), (c) &amp; (d), 4(1), 4(2) (f), (k) and (r) of PFUTP Regulations, Section 21 of SCRA, 1956 read with Clause 32, 36(7) and 50 of the listing agreement.</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a total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9,00,000/- (Rupees Nine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Bharat Zeenath Doshi and seven others in the matter of Kailash Auto Finance Limited for the violation of Section 16 of Securities Contracts (Regulation) Act, 1956 (“SCRA”) read with SEBI Notification SO 184 (E) dated March 01, 2000, Section 13 and Section 18 of SCRA, 1956 read with Section 2 (i) of SCRA.</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1,00,000/- (Rupees One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Bharat Jayantilal Patel and seven others in the matter of Centum Electronics Limited for the violation of provisions of Regulations 29(1), 29(2) read with Regulation 29(3) of SAST Regulations and provisions of Regulations 13(1), 13(3) read with Regulation 13(5) of PIT Regulations, 1992.</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10,00,000/- (Rupees Ten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 xml:space="preserve">on Prudent Broking Services Private Limited for violation of the provisions of SEBI Circular dated November 18, 1993, Regulation 17 of Brokers Regulations and Clauses 2.5, 3 &amp; 7 of Annexure of SEBI Circular dated September 26, 2016, Clause 12 of Annexure A of SEBI Circular dated December 03, 2009, Clause 2.3 of SEBI dated April 17, 2008, Clause 2.6 of Annexure of SEBI Circular dated September 26, 2016 read with Clause 2(d) of SEBI circular dated June 22, 2017, Clause 2(B) of SEBI Circular dated August 02, 2011, SEBI Circular dated August 22, 2011 &amp; October 05, 2011, Clause 2 of SEBI Circular dated December 23, 2011 read with SEBI Circular dated December 02, 2011 and SEBI Circular dated April 13, 2012, SEBI Circular dated January 07, 2014, Clauses17 and 1.8.5 of SEBI Circular dated December 15, 2016. </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2,00,000/- (Rupees Two Lakh) </w:t>
      </w:r>
      <w:r>
        <w:rPr>
          <w:rFonts w:ascii="Palatino Linotype" w:eastAsia="Calibri" w:hAnsi="Palatino Linotype"/>
          <w:lang w:val="en-US"/>
        </w:rPr>
        <w:t xml:space="preserve">imposed </w:t>
      </w:r>
      <w:r w:rsidR="001A0B06" w:rsidRPr="001A0B06">
        <w:rPr>
          <w:rFonts w:ascii="Palatino Linotype" w:eastAsia="Calibri" w:hAnsi="Palatino Linotype"/>
          <w:lang w:val="en-US"/>
        </w:rPr>
        <w:t>on N. G. Export Industries Limited, in the matter of Non-Redressal of investor complaints on SCORES for the violation of provisions of SEBI Consolidated Circular CIR/OIAE/1/2014 dated December 18, 2014.</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1,00,000/- (Rupees One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 xml:space="preserve">on P. Selvamani in the matter of Equitas Holdings Limited for the violation of Regulation 7(2) (a) of the PIT Regulations, 2015. </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15,00,000/- (Rupees Fifteen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Mishtann Foods Ltd. (formerly known as HICS Cements Ltd) for non-compliance of order dated February 20, 2020 passed by Whole Time Member of SEBI.</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2,00,000/- (Rupees Two Lakh only) </w:t>
      </w:r>
      <w:r>
        <w:rPr>
          <w:rFonts w:ascii="Palatino Linotype" w:eastAsia="Calibri" w:hAnsi="Palatino Linotype"/>
          <w:lang w:val="en-US"/>
        </w:rPr>
        <w:t xml:space="preserve">imposed </w:t>
      </w:r>
      <w:r w:rsidR="001A0B06" w:rsidRPr="001A0B06">
        <w:rPr>
          <w:rFonts w:ascii="Palatino Linotype" w:eastAsia="Calibri" w:hAnsi="Palatino Linotype"/>
          <w:lang w:val="en-US"/>
        </w:rPr>
        <w:t>on the Sai Prakash Properties Development Limited for the violation Sections 11C(3) of the SEBI Act.</w:t>
      </w:r>
    </w:p>
    <w:p w:rsidR="001A0B06" w:rsidRPr="001A0B06" w:rsidRDefault="001A0B06" w:rsidP="001A0B06">
      <w:pPr>
        <w:spacing w:line="276" w:lineRule="auto"/>
        <w:ind w:left="720"/>
        <w:contextualSpacing/>
        <w:jc w:val="both"/>
        <w:rPr>
          <w:rFonts w:ascii="Palatino Linotype" w:eastAsia="Calibri" w:hAnsi="Palatino Linotype"/>
          <w:lang w:val="en-US"/>
        </w:rPr>
      </w:pPr>
    </w:p>
    <w:p w:rsidR="001A0B06" w:rsidRPr="001A0B06" w:rsidRDefault="00E8001E" w:rsidP="001A0B06">
      <w:pPr>
        <w:numPr>
          <w:ilvl w:val="0"/>
          <w:numId w:val="17"/>
        </w:numPr>
        <w:spacing w:line="276" w:lineRule="auto"/>
        <w:contextualSpacing/>
        <w:jc w:val="both"/>
        <w:rPr>
          <w:rFonts w:ascii="Palatino Linotype" w:eastAsia="Calibri" w:hAnsi="Palatino Linotype"/>
          <w:lang w:val="en-US"/>
        </w:rPr>
      </w:pPr>
      <w:r>
        <w:rPr>
          <w:rFonts w:ascii="Palatino Linotype" w:eastAsia="Calibri" w:hAnsi="Palatino Linotype"/>
          <w:lang w:val="en-US"/>
        </w:rPr>
        <w:t>V</w:t>
      </w:r>
      <w:r w:rsidR="001A0B06" w:rsidRPr="001A0B06">
        <w:rPr>
          <w:rFonts w:ascii="Palatino Linotype" w:eastAsia="Calibri" w:hAnsi="Palatino Linotype"/>
          <w:lang w:val="en-US"/>
        </w:rPr>
        <w:t xml:space="preserve">ide order dated November 27, 2020, a penalty of </w:t>
      </w:r>
      <w:r w:rsidR="001A0B06" w:rsidRPr="001A0B06">
        <w:rPr>
          <w:rFonts w:ascii="Tahoma" w:eastAsia="Calibri" w:hAnsi="Tahoma" w:cs="Tahoma"/>
          <w:lang w:val="en-US"/>
        </w:rPr>
        <w:t>₹</w:t>
      </w:r>
      <w:r w:rsidR="001A0B06" w:rsidRPr="001A0B06">
        <w:rPr>
          <w:rFonts w:ascii="Palatino Linotype" w:eastAsia="Calibri" w:hAnsi="Palatino Linotype"/>
          <w:lang w:val="en-US"/>
        </w:rPr>
        <w:t xml:space="preserve"> 8,00,000/- (Rupees Eight Lakh only)</w:t>
      </w:r>
      <w:r>
        <w:rPr>
          <w:rFonts w:ascii="Palatino Linotype" w:eastAsia="Calibri" w:hAnsi="Palatino Linotype"/>
          <w:lang w:val="en-US"/>
        </w:rPr>
        <w:t xml:space="preserve"> imposed </w:t>
      </w:r>
      <w:r w:rsidR="001A0B06" w:rsidRPr="001A0B06">
        <w:rPr>
          <w:rFonts w:ascii="Palatino Linotype" w:eastAsia="Calibri" w:hAnsi="Palatino Linotype"/>
          <w:lang w:val="en-US"/>
        </w:rPr>
        <w:t>on Tabrez Khan, proprietor of Zoid Research for contravention of the provisions of Regulations 7(2), 15(9), 16 and 21 read with SEBI Circular dated December 18, 2015 (bearing no. CIR/OIAE/1/2014) and Clauses 1, 2, 3, 5 and 6 of the Code of Conduct prescribed under Third Schedule of SEBI (Investment Advisors) Regulations, 2013.</w:t>
      </w:r>
    </w:p>
    <w:p w:rsidR="001A0B06" w:rsidRDefault="001A0B06" w:rsidP="001A0B06">
      <w:pPr>
        <w:spacing w:line="276" w:lineRule="auto"/>
        <w:contextualSpacing/>
        <w:jc w:val="both"/>
        <w:rPr>
          <w:rFonts w:ascii="Palatino Linotype" w:eastAsia="Calibri" w:hAnsi="Palatino Linotype"/>
          <w:lang w:val="en-US"/>
        </w:rPr>
      </w:pPr>
    </w:p>
    <w:p w:rsidR="00272724" w:rsidRPr="00E71481" w:rsidRDefault="00272724" w:rsidP="00272724">
      <w:pPr>
        <w:spacing w:after="120"/>
        <w:rPr>
          <w:rFonts w:ascii="Garamond" w:hAnsi="Garamond"/>
          <w:i/>
          <w:color w:val="0000FF"/>
          <w:sz w:val="18"/>
          <w:u w:val="single"/>
        </w:rPr>
      </w:pPr>
      <w:r>
        <w:rPr>
          <w:rFonts w:ascii="Garamond" w:hAnsi="Garamond" w:cs="Arial"/>
          <w:i/>
          <w:szCs w:val="32"/>
        </w:rPr>
        <w:t>Disclaimer: The summary has been prepared for the convenience of readers. In case of any ambiguity, please refer to the original order</w:t>
      </w:r>
      <w:r w:rsidRPr="00E71481">
        <w:rPr>
          <w:rFonts w:ascii="Garamond" w:hAnsi="Garamond" w:cs="Arial"/>
          <w:i/>
          <w:szCs w:val="32"/>
        </w:rPr>
        <w:t>.</w:t>
      </w:r>
    </w:p>
    <w:p w:rsidR="00272724" w:rsidRPr="006F32FA" w:rsidRDefault="00272724" w:rsidP="00272724">
      <w:pPr>
        <w:spacing w:after="120"/>
        <w:rPr>
          <w:rStyle w:val="Hyperlink"/>
          <w:rFonts w:ascii="Garamond" w:hAnsi="Garamond"/>
          <w:i/>
          <w:sz w:val="18"/>
        </w:rPr>
      </w:pPr>
    </w:p>
    <w:p w:rsidR="006F32FA" w:rsidRPr="006F32FA" w:rsidRDefault="006F32FA" w:rsidP="00272724">
      <w:pPr>
        <w:shd w:val="clear" w:color="auto" w:fill="FFFFFF"/>
        <w:spacing w:line="276" w:lineRule="auto"/>
        <w:jc w:val="both"/>
        <w:textAlignment w:val="baseline"/>
        <w:rPr>
          <w:rStyle w:val="Hyperlink"/>
          <w:rFonts w:ascii="Garamond" w:hAnsi="Garamond"/>
          <w:i/>
          <w:sz w:val="18"/>
        </w:rPr>
      </w:pPr>
    </w:p>
    <w:sectPr w:rsidR="006F32FA" w:rsidRPr="006F32FA" w:rsidSect="00332F86">
      <w:headerReference w:type="even" r:id="rId39"/>
      <w:headerReference w:type="default" r:id="rId40"/>
      <w:footerReference w:type="even" r:id="rId41"/>
      <w:footerReference w:type="default" r:id="rId42"/>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B8D" w:rsidRDefault="003E6B8D" w:rsidP="00E07645">
      <w:r>
        <w:separator/>
      </w:r>
    </w:p>
  </w:endnote>
  <w:endnote w:type="continuationSeparator" w:id="0">
    <w:p w:rsidR="003E6B8D" w:rsidRDefault="003E6B8D"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4B4" w:rsidRDefault="001254B4">
    <w:pPr>
      <w:pStyle w:val="Footer"/>
    </w:pPr>
  </w:p>
  <w:p w:rsidR="001254B4" w:rsidRDefault="001254B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08751"/>
      <w:docPartObj>
        <w:docPartGallery w:val="Page Numbers (Bottom of Page)"/>
        <w:docPartUnique/>
      </w:docPartObj>
    </w:sdtPr>
    <w:sdtEndPr>
      <w:rPr>
        <w:color w:val="7F7F7F" w:themeColor="background1" w:themeShade="7F"/>
        <w:spacing w:val="60"/>
      </w:rPr>
    </w:sdtEndPr>
    <w:sdtContent>
      <w:p w:rsidR="001254B4" w:rsidRDefault="001254B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33585">
          <w:rPr>
            <w:noProof/>
          </w:rPr>
          <w:t>1</w:t>
        </w:r>
        <w:r>
          <w:rPr>
            <w:noProof/>
          </w:rPr>
          <w:fldChar w:fldCharType="end"/>
        </w:r>
        <w:r>
          <w:t xml:space="preserve"> | </w:t>
        </w:r>
        <w:r>
          <w:rPr>
            <w:color w:val="7F7F7F" w:themeColor="background1" w:themeShade="7F"/>
            <w:spacing w:val="60"/>
          </w:rPr>
          <w:t>Page</w:t>
        </w:r>
      </w:p>
    </w:sdtContent>
  </w:sdt>
  <w:p w:rsidR="001254B4" w:rsidRDefault="001254B4">
    <w:pPr>
      <w:pStyle w:val="Footer"/>
    </w:pPr>
  </w:p>
  <w:p w:rsidR="001254B4" w:rsidRDefault="001254B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B8D" w:rsidRDefault="003E6B8D" w:rsidP="00E07645">
      <w:r>
        <w:separator/>
      </w:r>
    </w:p>
  </w:footnote>
  <w:footnote w:type="continuationSeparator" w:id="0">
    <w:p w:rsidR="003E6B8D" w:rsidRDefault="003E6B8D" w:rsidP="00E07645">
      <w:r>
        <w:continuationSeparator/>
      </w:r>
    </w:p>
  </w:footnote>
  <w:footnote w:id="1">
    <w:p w:rsidR="00BB43D3" w:rsidRDefault="00BB43D3" w:rsidP="00BB43D3">
      <w:pPr>
        <w:pStyle w:val="FootnoteText"/>
      </w:pPr>
      <w:r>
        <w:rPr>
          <w:rStyle w:val="FootnoteReference"/>
        </w:rPr>
        <w:footnoteRef/>
      </w:r>
      <w:r>
        <w:t xml:space="preserve"> Monthly turnover considers Notional turnover in case of Options Contracts</w:t>
      </w:r>
    </w:p>
  </w:footnote>
  <w:footnote w:id="2">
    <w:p w:rsidR="00BB43D3" w:rsidRPr="005B5517" w:rsidRDefault="00BB43D3" w:rsidP="00BB43D3">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it units.</w:t>
      </w:r>
    </w:p>
  </w:footnote>
  <w:footnote w:id="3">
    <w:p w:rsidR="009C796D" w:rsidRDefault="009C796D" w:rsidP="009C796D">
      <w:pPr>
        <w:pStyle w:val="FootnoteText"/>
      </w:pPr>
      <w:r>
        <w:rPr>
          <w:rStyle w:val="FootnoteReference"/>
        </w:rPr>
        <w:footnoteRef/>
      </w:r>
      <w:r>
        <w:t xml:space="preserve"> Based on data available on World Federation of Exchanges as on 13 November, 2020. BSE data from WFE has not been included as BSE is no longer providing data to WFE since June 2019.</w:t>
      </w:r>
    </w:p>
  </w:footnote>
  <w:footnote w:id="4">
    <w:p w:rsidR="009C796D" w:rsidRDefault="009C796D" w:rsidP="009C796D">
      <w:pPr>
        <w:pStyle w:val="FootnoteText"/>
      </w:pPr>
      <w:r>
        <w:rPr>
          <w:rStyle w:val="FootnoteReference"/>
        </w:rPr>
        <w:footnoteRef/>
      </w:r>
      <w:r>
        <w:t xml:space="preserve"> </w:t>
      </w:r>
      <w:r w:rsidRPr="000D159E">
        <w:t>Brazil, Russia, India, India, China, South Africa, USA, USA, France, Germany, UK, Hong Kong</w:t>
      </w:r>
      <w:r>
        <w:t>, South Korea, Japan, Singapore and</w:t>
      </w:r>
      <w:r w:rsidRPr="000D159E">
        <w:t xml:space="preserve"> Taiwan</w:t>
      </w:r>
    </w:p>
  </w:footnote>
  <w:footnote w:id="5">
    <w:p w:rsidR="009C796D" w:rsidRDefault="009C796D" w:rsidP="009C796D">
      <w:pPr>
        <w:pStyle w:val="FootnoteText"/>
      </w:pPr>
      <w:r>
        <w:rPr>
          <w:rStyle w:val="FootnoteReference"/>
        </w:rPr>
        <w:footnoteRef/>
      </w:r>
      <w:r>
        <w:t xml:space="preserve"> Germany, Spain, USA, UK, Japan, India, China, Brazil and Russia.</w:t>
      </w:r>
    </w:p>
  </w:footnote>
  <w:footnote w:id="6">
    <w:p w:rsidR="009C796D" w:rsidRDefault="009C796D" w:rsidP="009C796D">
      <w:pPr>
        <w:pStyle w:val="FootnoteText"/>
      </w:pPr>
      <w:r>
        <w:rPr>
          <w:rStyle w:val="FootnoteReference"/>
        </w:rPr>
        <w:footnoteRef/>
      </w:r>
      <w:r>
        <w:t xml:space="preserve"> Data available on as on 12</w:t>
      </w:r>
      <w:r w:rsidRPr="00AB2F55">
        <w:rPr>
          <w:vertAlign w:val="superscript"/>
        </w:rPr>
        <w:t>th</w:t>
      </w:r>
      <w:r>
        <w:t xml:space="preserve"> Dec 2020 on WFE as submitted by exchanges which are members of WFE,</w:t>
      </w:r>
    </w:p>
  </w:footnote>
  <w:footnote w:id="7">
    <w:p w:rsidR="009C796D" w:rsidRDefault="009C796D" w:rsidP="009C796D">
      <w:pPr>
        <w:pStyle w:val="FootnoteText"/>
      </w:pPr>
      <w:r>
        <w:rPr>
          <w:rStyle w:val="FootnoteReference"/>
        </w:rPr>
        <w:footnoteRef/>
      </w:r>
      <w:r>
        <w:t xml:space="preserve"> USA, UK, Germany, France, Japan, Singapore, Hong Kong, China, Russia, India, S. Korea and Australia.</w:t>
      </w:r>
    </w:p>
  </w:footnote>
  <w:footnote w:id="8">
    <w:p w:rsidR="009C796D" w:rsidRDefault="009C796D" w:rsidP="009C796D">
      <w:pPr>
        <w:pStyle w:val="FootnoteText"/>
      </w:pPr>
      <w:r>
        <w:rPr>
          <w:rStyle w:val="FootnoteReference"/>
        </w:rPr>
        <w:footnoteRef/>
      </w:r>
      <w:r>
        <w:t xml:space="preserve"> </w:t>
      </w:r>
      <w:r w:rsidRPr="003D2887">
        <w:t>Real, Rouble, Rupee, Renminbi, Rand, Won, Pound, Euro, Yen, Franc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4B4" w:rsidRDefault="001254B4">
    <w:pPr>
      <w:pStyle w:val="Header"/>
    </w:pPr>
  </w:p>
  <w:p w:rsidR="001254B4" w:rsidRDefault="001254B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4B4" w:rsidRDefault="001254B4">
    <w:pPr>
      <w:pStyle w:val="Header"/>
    </w:pPr>
  </w:p>
  <w:p w:rsidR="001254B4" w:rsidRDefault="001254B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19"/>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23"/>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2C"/>
    <w:multiLevelType w:val="hybridMultilevel"/>
    <w:tmpl w:val="EEA0001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47939D9"/>
    <w:multiLevelType w:val="multilevel"/>
    <w:tmpl w:val="11E0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9F384B"/>
    <w:multiLevelType w:val="hybridMultilevel"/>
    <w:tmpl w:val="CD7CC59E"/>
    <w:lvl w:ilvl="0" w:tplc="09765F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8193A3E"/>
    <w:multiLevelType w:val="hybridMultilevel"/>
    <w:tmpl w:val="40AC5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8F760C0"/>
    <w:multiLevelType w:val="multilevel"/>
    <w:tmpl w:val="C9380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E427DF"/>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B45C15"/>
    <w:multiLevelType w:val="hybridMultilevel"/>
    <w:tmpl w:val="26D085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F010AE"/>
    <w:multiLevelType w:val="hybridMultilevel"/>
    <w:tmpl w:val="48F8C1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2FC48A6"/>
    <w:multiLevelType w:val="hybridMultilevel"/>
    <w:tmpl w:val="AACCC5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9DE67C3"/>
    <w:multiLevelType w:val="hybridMultilevel"/>
    <w:tmpl w:val="DB027F34"/>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18" w15:restartNumberingAfterBreak="0">
    <w:nsid w:val="2ACA4421"/>
    <w:multiLevelType w:val="multilevel"/>
    <w:tmpl w:val="DFCE8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FF7518"/>
    <w:multiLevelType w:val="hybridMultilevel"/>
    <w:tmpl w:val="B348728C"/>
    <w:lvl w:ilvl="0" w:tplc="40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31764998"/>
    <w:multiLevelType w:val="hybridMultilevel"/>
    <w:tmpl w:val="019647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C0F54B8"/>
    <w:multiLevelType w:val="hybridMultilevel"/>
    <w:tmpl w:val="E1F4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97F73"/>
    <w:multiLevelType w:val="hybridMultilevel"/>
    <w:tmpl w:val="E304D71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3B529E0"/>
    <w:multiLevelType w:val="hybridMultilevel"/>
    <w:tmpl w:val="3F9A40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3D91E62"/>
    <w:multiLevelType w:val="multilevel"/>
    <w:tmpl w:val="8174C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6A26950"/>
    <w:multiLevelType w:val="hybridMultilevel"/>
    <w:tmpl w:val="8B9C8214"/>
    <w:lvl w:ilvl="0" w:tplc="F5E02960">
      <w:start w:val="1"/>
      <w:numFmt w:val="decimal"/>
      <w:lvlText w:val="%1."/>
      <w:lvlJc w:val="left"/>
      <w:pPr>
        <w:ind w:left="720" w:hanging="360"/>
      </w:pPr>
      <w:rPr>
        <w:rFonts w:ascii="Garamond" w:hAnsi="Garamond"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117327E"/>
    <w:multiLevelType w:val="multilevel"/>
    <w:tmpl w:val="97A2A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27B0595"/>
    <w:multiLevelType w:val="hybridMultilevel"/>
    <w:tmpl w:val="9C1AF802"/>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28" w15:restartNumberingAfterBreak="0">
    <w:nsid w:val="5A6A4B69"/>
    <w:multiLevelType w:val="multilevel"/>
    <w:tmpl w:val="9AD4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1436DB5"/>
    <w:multiLevelType w:val="hybridMultilevel"/>
    <w:tmpl w:val="51523B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6"/>
  </w:num>
  <w:num w:numId="2">
    <w:abstractNumId w:val="30"/>
  </w:num>
  <w:num w:numId="3">
    <w:abstractNumId w:val="24"/>
  </w:num>
  <w:num w:numId="4">
    <w:abstractNumId w:val="7"/>
  </w:num>
  <w:num w:numId="5">
    <w:abstractNumId w:val="5"/>
  </w:num>
  <w:num w:numId="6">
    <w:abstractNumId w:val="26"/>
  </w:num>
  <w:num w:numId="7">
    <w:abstractNumId w:val="28"/>
  </w:num>
  <w:num w:numId="8">
    <w:abstractNumId w:val="18"/>
  </w:num>
  <w:num w:numId="9">
    <w:abstractNumId w:val="14"/>
  </w:num>
  <w:num w:numId="10">
    <w:abstractNumId w:val="10"/>
  </w:num>
  <w:num w:numId="11">
    <w:abstractNumId w:val="22"/>
  </w:num>
  <w:num w:numId="12">
    <w:abstractNumId w:val="31"/>
  </w:num>
  <w:num w:numId="13">
    <w:abstractNumId w:val="3"/>
  </w:num>
  <w:num w:numId="14">
    <w:abstractNumId w:val="1"/>
  </w:num>
  <w:num w:numId="15">
    <w:abstractNumId w:val="2"/>
  </w:num>
  <w:num w:numId="16">
    <w:abstractNumId w:val="0"/>
  </w:num>
  <w:num w:numId="17">
    <w:abstractNumId w:val="4"/>
  </w:num>
  <w:num w:numId="18">
    <w:abstractNumId w:val="15"/>
  </w:num>
  <w:num w:numId="19">
    <w:abstractNumId w:val="16"/>
  </w:num>
  <w:num w:numId="20">
    <w:abstractNumId w:val="8"/>
  </w:num>
  <w:num w:numId="21">
    <w:abstractNumId w:val="19"/>
  </w:num>
  <w:num w:numId="22">
    <w:abstractNumId w:val="25"/>
  </w:num>
  <w:num w:numId="23">
    <w:abstractNumId w:val="11"/>
  </w:num>
  <w:num w:numId="24">
    <w:abstractNumId w:val="20"/>
  </w:num>
  <w:num w:numId="25">
    <w:abstractNumId w:val="21"/>
  </w:num>
  <w:num w:numId="26">
    <w:abstractNumId w:val="12"/>
  </w:num>
  <w:num w:numId="27">
    <w:abstractNumId w:val="13"/>
  </w:num>
  <w:num w:numId="28">
    <w:abstractNumId w:val="29"/>
  </w:num>
  <w:num w:numId="29">
    <w:abstractNumId w:val="17"/>
  </w:num>
  <w:num w:numId="30">
    <w:abstractNumId w:val="27"/>
  </w:num>
  <w:num w:numId="31">
    <w:abstractNumId w:val="23"/>
  </w:num>
  <w:num w:numId="32">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2FAA"/>
    <w:rsid w:val="000133EA"/>
    <w:rsid w:val="00013A01"/>
    <w:rsid w:val="000145C6"/>
    <w:rsid w:val="000161B3"/>
    <w:rsid w:val="000174DC"/>
    <w:rsid w:val="000211A2"/>
    <w:rsid w:val="00022868"/>
    <w:rsid w:val="000243DB"/>
    <w:rsid w:val="000243E1"/>
    <w:rsid w:val="000254CD"/>
    <w:rsid w:val="00026D29"/>
    <w:rsid w:val="0003061B"/>
    <w:rsid w:val="000346B6"/>
    <w:rsid w:val="00034DE0"/>
    <w:rsid w:val="00035307"/>
    <w:rsid w:val="00035948"/>
    <w:rsid w:val="00035951"/>
    <w:rsid w:val="0003625D"/>
    <w:rsid w:val="00041693"/>
    <w:rsid w:val="00043C9A"/>
    <w:rsid w:val="00043F40"/>
    <w:rsid w:val="00045903"/>
    <w:rsid w:val="00045B3E"/>
    <w:rsid w:val="00046401"/>
    <w:rsid w:val="00047715"/>
    <w:rsid w:val="000507E2"/>
    <w:rsid w:val="00050DB7"/>
    <w:rsid w:val="00053B79"/>
    <w:rsid w:val="00055162"/>
    <w:rsid w:val="00057D3C"/>
    <w:rsid w:val="00062D7C"/>
    <w:rsid w:val="00062F4A"/>
    <w:rsid w:val="00063FF5"/>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21C"/>
    <w:rsid w:val="000847BB"/>
    <w:rsid w:val="00084FB3"/>
    <w:rsid w:val="00085A8E"/>
    <w:rsid w:val="0008687B"/>
    <w:rsid w:val="00086BF6"/>
    <w:rsid w:val="00087B33"/>
    <w:rsid w:val="00090A9B"/>
    <w:rsid w:val="00090DEF"/>
    <w:rsid w:val="00091168"/>
    <w:rsid w:val="00091E37"/>
    <w:rsid w:val="000920E5"/>
    <w:rsid w:val="000946C2"/>
    <w:rsid w:val="000960B9"/>
    <w:rsid w:val="0009614C"/>
    <w:rsid w:val="0009638E"/>
    <w:rsid w:val="000A047F"/>
    <w:rsid w:val="000A0816"/>
    <w:rsid w:val="000A142F"/>
    <w:rsid w:val="000A19FF"/>
    <w:rsid w:val="000A34B6"/>
    <w:rsid w:val="000A37CE"/>
    <w:rsid w:val="000A47E6"/>
    <w:rsid w:val="000A4D70"/>
    <w:rsid w:val="000A7141"/>
    <w:rsid w:val="000B0A37"/>
    <w:rsid w:val="000B0DD6"/>
    <w:rsid w:val="000B27CD"/>
    <w:rsid w:val="000B4450"/>
    <w:rsid w:val="000B5449"/>
    <w:rsid w:val="000B5935"/>
    <w:rsid w:val="000B6B00"/>
    <w:rsid w:val="000B7BC0"/>
    <w:rsid w:val="000B7FBD"/>
    <w:rsid w:val="000C02A3"/>
    <w:rsid w:val="000C0C5B"/>
    <w:rsid w:val="000C1CD7"/>
    <w:rsid w:val="000C1D79"/>
    <w:rsid w:val="000C1EA0"/>
    <w:rsid w:val="000C23CE"/>
    <w:rsid w:val="000C3C7D"/>
    <w:rsid w:val="000C5949"/>
    <w:rsid w:val="000C5AA9"/>
    <w:rsid w:val="000C6063"/>
    <w:rsid w:val="000C677F"/>
    <w:rsid w:val="000C69C1"/>
    <w:rsid w:val="000D2FD5"/>
    <w:rsid w:val="000D4C7F"/>
    <w:rsid w:val="000D66B0"/>
    <w:rsid w:val="000E03A6"/>
    <w:rsid w:val="000E0833"/>
    <w:rsid w:val="000E0D86"/>
    <w:rsid w:val="000E125F"/>
    <w:rsid w:val="000E1FA1"/>
    <w:rsid w:val="000E33A1"/>
    <w:rsid w:val="000E3746"/>
    <w:rsid w:val="000E3A95"/>
    <w:rsid w:val="000E46BB"/>
    <w:rsid w:val="000E4795"/>
    <w:rsid w:val="000E4C9B"/>
    <w:rsid w:val="000E7329"/>
    <w:rsid w:val="000E76D0"/>
    <w:rsid w:val="000E76FF"/>
    <w:rsid w:val="000E777A"/>
    <w:rsid w:val="000F02FB"/>
    <w:rsid w:val="000F0612"/>
    <w:rsid w:val="000F0BF4"/>
    <w:rsid w:val="000F236F"/>
    <w:rsid w:val="000F28BC"/>
    <w:rsid w:val="000F3F0C"/>
    <w:rsid w:val="000F4124"/>
    <w:rsid w:val="000F464D"/>
    <w:rsid w:val="000F55A8"/>
    <w:rsid w:val="000F5AAF"/>
    <w:rsid w:val="000F6775"/>
    <w:rsid w:val="000F7372"/>
    <w:rsid w:val="000F7C8D"/>
    <w:rsid w:val="000F7F35"/>
    <w:rsid w:val="00100264"/>
    <w:rsid w:val="00100655"/>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2036"/>
    <w:rsid w:val="00112407"/>
    <w:rsid w:val="00113363"/>
    <w:rsid w:val="00113380"/>
    <w:rsid w:val="00114AC5"/>
    <w:rsid w:val="00114B6F"/>
    <w:rsid w:val="00114C90"/>
    <w:rsid w:val="001155EB"/>
    <w:rsid w:val="001164CA"/>
    <w:rsid w:val="0011654B"/>
    <w:rsid w:val="001212CB"/>
    <w:rsid w:val="00123543"/>
    <w:rsid w:val="0012367A"/>
    <w:rsid w:val="00124B1E"/>
    <w:rsid w:val="001254B4"/>
    <w:rsid w:val="00125AF5"/>
    <w:rsid w:val="0012648B"/>
    <w:rsid w:val="00126726"/>
    <w:rsid w:val="001279AE"/>
    <w:rsid w:val="00130027"/>
    <w:rsid w:val="00130306"/>
    <w:rsid w:val="00130BC0"/>
    <w:rsid w:val="00132024"/>
    <w:rsid w:val="00132568"/>
    <w:rsid w:val="00134BC1"/>
    <w:rsid w:val="00135041"/>
    <w:rsid w:val="001357A7"/>
    <w:rsid w:val="00135EF6"/>
    <w:rsid w:val="001363E8"/>
    <w:rsid w:val="001376EC"/>
    <w:rsid w:val="00137E4B"/>
    <w:rsid w:val="00140090"/>
    <w:rsid w:val="001404C9"/>
    <w:rsid w:val="00141FC6"/>
    <w:rsid w:val="00142329"/>
    <w:rsid w:val="00143013"/>
    <w:rsid w:val="001450AE"/>
    <w:rsid w:val="00146B24"/>
    <w:rsid w:val="00146D0E"/>
    <w:rsid w:val="00150006"/>
    <w:rsid w:val="00151C67"/>
    <w:rsid w:val="001523E1"/>
    <w:rsid w:val="00153CF4"/>
    <w:rsid w:val="00154F31"/>
    <w:rsid w:val="00160183"/>
    <w:rsid w:val="00160768"/>
    <w:rsid w:val="00160DEC"/>
    <w:rsid w:val="00160E47"/>
    <w:rsid w:val="0016116C"/>
    <w:rsid w:val="0016171E"/>
    <w:rsid w:val="00162443"/>
    <w:rsid w:val="00163595"/>
    <w:rsid w:val="00164B80"/>
    <w:rsid w:val="001662DE"/>
    <w:rsid w:val="0016654B"/>
    <w:rsid w:val="001667BE"/>
    <w:rsid w:val="00166B5E"/>
    <w:rsid w:val="00170534"/>
    <w:rsid w:val="0017198F"/>
    <w:rsid w:val="001720CD"/>
    <w:rsid w:val="0017288A"/>
    <w:rsid w:val="00175031"/>
    <w:rsid w:val="00175977"/>
    <w:rsid w:val="00175A49"/>
    <w:rsid w:val="00175C02"/>
    <w:rsid w:val="00177824"/>
    <w:rsid w:val="00177BD1"/>
    <w:rsid w:val="00177C4A"/>
    <w:rsid w:val="0018049A"/>
    <w:rsid w:val="001816BF"/>
    <w:rsid w:val="0018197C"/>
    <w:rsid w:val="00182965"/>
    <w:rsid w:val="0018378C"/>
    <w:rsid w:val="001847A1"/>
    <w:rsid w:val="00184C5B"/>
    <w:rsid w:val="00184D09"/>
    <w:rsid w:val="0018502D"/>
    <w:rsid w:val="001868D6"/>
    <w:rsid w:val="00186E61"/>
    <w:rsid w:val="001912C3"/>
    <w:rsid w:val="00191B9C"/>
    <w:rsid w:val="0019305B"/>
    <w:rsid w:val="001932A2"/>
    <w:rsid w:val="00193EFB"/>
    <w:rsid w:val="00194F88"/>
    <w:rsid w:val="001961E8"/>
    <w:rsid w:val="00196267"/>
    <w:rsid w:val="0019787A"/>
    <w:rsid w:val="001A054F"/>
    <w:rsid w:val="001A0B06"/>
    <w:rsid w:val="001A2361"/>
    <w:rsid w:val="001A3018"/>
    <w:rsid w:val="001A3156"/>
    <w:rsid w:val="001A375B"/>
    <w:rsid w:val="001A42AC"/>
    <w:rsid w:val="001A5A37"/>
    <w:rsid w:val="001A5E17"/>
    <w:rsid w:val="001A61B6"/>
    <w:rsid w:val="001A6439"/>
    <w:rsid w:val="001A697A"/>
    <w:rsid w:val="001A7D69"/>
    <w:rsid w:val="001A7DC2"/>
    <w:rsid w:val="001B1D3E"/>
    <w:rsid w:val="001B2693"/>
    <w:rsid w:val="001B279D"/>
    <w:rsid w:val="001B44E2"/>
    <w:rsid w:val="001B4C10"/>
    <w:rsid w:val="001B5B2F"/>
    <w:rsid w:val="001B5BFF"/>
    <w:rsid w:val="001B7218"/>
    <w:rsid w:val="001B7FD3"/>
    <w:rsid w:val="001C0933"/>
    <w:rsid w:val="001C0BB1"/>
    <w:rsid w:val="001C0BDA"/>
    <w:rsid w:val="001C2441"/>
    <w:rsid w:val="001C3230"/>
    <w:rsid w:val="001C4EE9"/>
    <w:rsid w:val="001C5DA4"/>
    <w:rsid w:val="001C637A"/>
    <w:rsid w:val="001C7B26"/>
    <w:rsid w:val="001C7B28"/>
    <w:rsid w:val="001D04F5"/>
    <w:rsid w:val="001D1729"/>
    <w:rsid w:val="001D2CA3"/>
    <w:rsid w:val="001D4801"/>
    <w:rsid w:val="001D4880"/>
    <w:rsid w:val="001D52A6"/>
    <w:rsid w:val="001D5BBC"/>
    <w:rsid w:val="001D68DB"/>
    <w:rsid w:val="001D7AA4"/>
    <w:rsid w:val="001D7B80"/>
    <w:rsid w:val="001E0BB4"/>
    <w:rsid w:val="001E125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654"/>
    <w:rsid w:val="002101C9"/>
    <w:rsid w:val="00210EF0"/>
    <w:rsid w:val="00212565"/>
    <w:rsid w:val="002135D8"/>
    <w:rsid w:val="002140C5"/>
    <w:rsid w:val="0021539B"/>
    <w:rsid w:val="00217822"/>
    <w:rsid w:val="0022096F"/>
    <w:rsid w:val="00220AB1"/>
    <w:rsid w:val="00220C24"/>
    <w:rsid w:val="00220D54"/>
    <w:rsid w:val="00222713"/>
    <w:rsid w:val="00223671"/>
    <w:rsid w:val="002240ED"/>
    <w:rsid w:val="002245EC"/>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3585"/>
    <w:rsid w:val="00234E67"/>
    <w:rsid w:val="002354B2"/>
    <w:rsid w:val="00235B23"/>
    <w:rsid w:val="00236346"/>
    <w:rsid w:val="00236954"/>
    <w:rsid w:val="0023700B"/>
    <w:rsid w:val="00237509"/>
    <w:rsid w:val="002405F0"/>
    <w:rsid w:val="00240828"/>
    <w:rsid w:val="00240D60"/>
    <w:rsid w:val="00241B89"/>
    <w:rsid w:val="0024216A"/>
    <w:rsid w:val="002421DD"/>
    <w:rsid w:val="00243068"/>
    <w:rsid w:val="0024330D"/>
    <w:rsid w:val="00243434"/>
    <w:rsid w:val="002447CE"/>
    <w:rsid w:val="00244EAF"/>
    <w:rsid w:val="0024500A"/>
    <w:rsid w:val="002450DA"/>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D83"/>
    <w:rsid w:val="002664D0"/>
    <w:rsid w:val="00266B8C"/>
    <w:rsid w:val="00267A7C"/>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3974"/>
    <w:rsid w:val="00284BC2"/>
    <w:rsid w:val="002852AB"/>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51F7"/>
    <w:rsid w:val="002A54FF"/>
    <w:rsid w:val="002A6544"/>
    <w:rsid w:val="002A7477"/>
    <w:rsid w:val="002A7A64"/>
    <w:rsid w:val="002A7D0C"/>
    <w:rsid w:val="002B0029"/>
    <w:rsid w:val="002B0E62"/>
    <w:rsid w:val="002B13B8"/>
    <w:rsid w:val="002B2515"/>
    <w:rsid w:val="002B2FED"/>
    <w:rsid w:val="002B402D"/>
    <w:rsid w:val="002B6143"/>
    <w:rsid w:val="002B769A"/>
    <w:rsid w:val="002C0082"/>
    <w:rsid w:val="002C0CF3"/>
    <w:rsid w:val="002C1200"/>
    <w:rsid w:val="002C2400"/>
    <w:rsid w:val="002C2CFE"/>
    <w:rsid w:val="002C3645"/>
    <w:rsid w:val="002C4936"/>
    <w:rsid w:val="002C4D20"/>
    <w:rsid w:val="002C4ED2"/>
    <w:rsid w:val="002C54CA"/>
    <w:rsid w:val="002C6429"/>
    <w:rsid w:val="002C6CCB"/>
    <w:rsid w:val="002C6FCE"/>
    <w:rsid w:val="002C7A76"/>
    <w:rsid w:val="002C7D3D"/>
    <w:rsid w:val="002D09D6"/>
    <w:rsid w:val="002D0AE7"/>
    <w:rsid w:val="002D2DC8"/>
    <w:rsid w:val="002D3E7C"/>
    <w:rsid w:val="002D42CB"/>
    <w:rsid w:val="002D432D"/>
    <w:rsid w:val="002D6708"/>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F21"/>
    <w:rsid w:val="002F41CD"/>
    <w:rsid w:val="002F70EB"/>
    <w:rsid w:val="002F71DF"/>
    <w:rsid w:val="0030004F"/>
    <w:rsid w:val="00300262"/>
    <w:rsid w:val="00301C6A"/>
    <w:rsid w:val="0030208E"/>
    <w:rsid w:val="00302A9D"/>
    <w:rsid w:val="0030426F"/>
    <w:rsid w:val="00304C7D"/>
    <w:rsid w:val="00305062"/>
    <w:rsid w:val="0030548A"/>
    <w:rsid w:val="00305806"/>
    <w:rsid w:val="003064C4"/>
    <w:rsid w:val="00306646"/>
    <w:rsid w:val="00310322"/>
    <w:rsid w:val="00310A33"/>
    <w:rsid w:val="00310D4F"/>
    <w:rsid w:val="00312489"/>
    <w:rsid w:val="00312D42"/>
    <w:rsid w:val="0031379C"/>
    <w:rsid w:val="00313F0E"/>
    <w:rsid w:val="00314402"/>
    <w:rsid w:val="00314ED5"/>
    <w:rsid w:val="00315CB7"/>
    <w:rsid w:val="0031610E"/>
    <w:rsid w:val="003162C3"/>
    <w:rsid w:val="00316405"/>
    <w:rsid w:val="00317D01"/>
    <w:rsid w:val="0032036A"/>
    <w:rsid w:val="00321324"/>
    <w:rsid w:val="003219BE"/>
    <w:rsid w:val="0032394B"/>
    <w:rsid w:val="00325395"/>
    <w:rsid w:val="00326A7E"/>
    <w:rsid w:val="0033096F"/>
    <w:rsid w:val="00331382"/>
    <w:rsid w:val="00332050"/>
    <w:rsid w:val="00332124"/>
    <w:rsid w:val="003321CF"/>
    <w:rsid w:val="003323BA"/>
    <w:rsid w:val="003327D8"/>
    <w:rsid w:val="00332F86"/>
    <w:rsid w:val="00333281"/>
    <w:rsid w:val="00334455"/>
    <w:rsid w:val="00334516"/>
    <w:rsid w:val="00334B83"/>
    <w:rsid w:val="00335F32"/>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56FA"/>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54D"/>
    <w:rsid w:val="0039732B"/>
    <w:rsid w:val="00397E98"/>
    <w:rsid w:val="003A17FF"/>
    <w:rsid w:val="003A21E5"/>
    <w:rsid w:val="003A297D"/>
    <w:rsid w:val="003A2BF9"/>
    <w:rsid w:val="003A331B"/>
    <w:rsid w:val="003A3BEA"/>
    <w:rsid w:val="003A48C5"/>
    <w:rsid w:val="003A4AC6"/>
    <w:rsid w:val="003A4BE3"/>
    <w:rsid w:val="003A5FB5"/>
    <w:rsid w:val="003B0D0B"/>
    <w:rsid w:val="003B1065"/>
    <w:rsid w:val="003B1DAD"/>
    <w:rsid w:val="003B2AA2"/>
    <w:rsid w:val="003B2FD2"/>
    <w:rsid w:val="003B5D3E"/>
    <w:rsid w:val="003B6169"/>
    <w:rsid w:val="003B6B7F"/>
    <w:rsid w:val="003B6CA4"/>
    <w:rsid w:val="003B7137"/>
    <w:rsid w:val="003C0053"/>
    <w:rsid w:val="003C03E0"/>
    <w:rsid w:val="003C05C5"/>
    <w:rsid w:val="003C1892"/>
    <w:rsid w:val="003C2CFF"/>
    <w:rsid w:val="003C2E75"/>
    <w:rsid w:val="003C2E80"/>
    <w:rsid w:val="003C3AA0"/>
    <w:rsid w:val="003C3DD7"/>
    <w:rsid w:val="003C4496"/>
    <w:rsid w:val="003C51EB"/>
    <w:rsid w:val="003C6A4A"/>
    <w:rsid w:val="003C70B1"/>
    <w:rsid w:val="003C728F"/>
    <w:rsid w:val="003D15FC"/>
    <w:rsid w:val="003D192D"/>
    <w:rsid w:val="003D1C08"/>
    <w:rsid w:val="003D1EB4"/>
    <w:rsid w:val="003D2B66"/>
    <w:rsid w:val="003D31FD"/>
    <w:rsid w:val="003D42E3"/>
    <w:rsid w:val="003D5C27"/>
    <w:rsid w:val="003D77FA"/>
    <w:rsid w:val="003D7F47"/>
    <w:rsid w:val="003E0D79"/>
    <w:rsid w:val="003E0F9F"/>
    <w:rsid w:val="003E14ED"/>
    <w:rsid w:val="003E1821"/>
    <w:rsid w:val="003E1929"/>
    <w:rsid w:val="003E5A8A"/>
    <w:rsid w:val="003E5D13"/>
    <w:rsid w:val="003E61D3"/>
    <w:rsid w:val="003E63F8"/>
    <w:rsid w:val="003E6B8D"/>
    <w:rsid w:val="003E70CB"/>
    <w:rsid w:val="003E71C8"/>
    <w:rsid w:val="003F0D78"/>
    <w:rsid w:val="003F139B"/>
    <w:rsid w:val="003F1FB2"/>
    <w:rsid w:val="003F3A95"/>
    <w:rsid w:val="003F537A"/>
    <w:rsid w:val="003F5475"/>
    <w:rsid w:val="003F560E"/>
    <w:rsid w:val="003F5A24"/>
    <w:rsid w:val="003F5EDA"/>
    <w:rsid w:val="003F62E0"/>
    <w:rsid w:val="003F643D"/>
    <w:rsid w:val="003F653C"/>
    <w:rsid w:val="003F6E33"/>
    <w:rsid w:val="003F71F4"/>
    <w:rsid w:val="00400590"/>
    <w:rsid w:val="00400691"/>
    <w:rsid w:val="00400A9A"/>
    <w:rsid w:val="004018C7"/>
    <w:rsid w:val="00401C57"/>
    <w:rsid w:val="004028D9"/>
    <w:rsid w:val="00404CDD"/>
    <w:rsid w:val="004066A2"/>
    <w:rsid w:val="00406C29"/>
    <w:rsid w:val="00406CA1"/>
    <w:rsid w:val="0041013E"/>
    <w:rsid w:val="00410C67"/>
    <w:rsid w:val="0041126A"/>
    <w:rsid w:val="00411783"/>
    <w:rsid w:val="00411A91"/>
    <w:rsid w:val="0041286F"/>
    <w:rsid w:val="004139A3"/>
    <w:rsid w:val="0041405E"/>
    <w:rsid w:val="0041477F"/>
    <w:rsid w:val="0041487F"/>
    <w:rsid w:val="00414991"/>
    <w:rsid w:val="00414E7A"/>
    <w:rsid w:val="00416135"/>
    <w:rsid w:val="00416ED9"/>
    <w:rsid w:val="004173B2"/>
    <w:rsid w:val="004205AB"/>
    <w:rsid w:val="00421135"/>
    <w:rsid w:val="00421794"/>
    <w:rsid w:val="004225E9"/>
    <w:rsid w:val="00423D86"/>
    <w:rsid w:val="00424C9E"/>
    <w:rsid w:val="004255B6"/>
    <w:rsid w:val="0042605C"/>
    <w:rsid w:val="00427912"/>
    <w:rsid w:val="00430234"/>
    <w:rsid w:val="00430948"/>
    <w:rsid w:val="004312D0"/>
    <w:rsid w:val="00431AF3"/>
    <w:rsid w:val="00432A89"/>
    <w:rsid w:val="00432CD0"/>
    <w:rsid w:val="004333ED"/>
    <w:rsid w:val="004338FC"/>
    <w:rsid w:val="00433C37"/>
    <w:rsid w:val="0043444E"/>
    <w:rsid w:val="00434487"/>
    <w:rsid w:val="004354AF"/>
    <w:rsid w:val="00436B9A"/>
    <w:rsid w:val="0044161F"/>
    <w:rsid w:val="0044362C"/>
    <w:rsid w:val="00444544"/>
    <w:rsid w:val="00444D4B"/>
    <w:rsid w:val="00445C99"/>
    <w:rsid w:val="00445CDF"/>
    <w:rsid w:val="00446060"/>
    <w:rsid w:val="00450AC4"/>
    <w:rsid w:val="00450C02"/>
    <w:rsid w:val="00451057"/>
    <w:rsid w:val="004517B1"/>
    <w:rsid w:val="00451CE6"/>
    <w:rsid w:val="004531B5"/>
    <w:rsid w:val="0045332B"/>
    <w:rsid w:val="004539CC"/>
    <w:rsid w:val="00453B3B"/>
    <w:rsid w:val="00453EDC"/>
    <w:rsid w:val="00454200"/>
    <w:rsid w:val="00454BBE"/>
    <w:rsid w:val="00455CC2"/>
    <w:rsid w:val="00457A73"/>
    <w:rsid w:val="00460B5A"/>
    <w:rsid w:val="00462BB7"/>
    <w:rsid w:val="0046376B"/>
    <w:rsid w:val="00465207"/>
    <w:rsid w:val="0046520C"/>
    <w:rsid w:val="00467125"/>
    <w:rsid w:val="00470C37"/>
    <w:rsid w:val="00470E75"/>
    <w:rsid w:val="00471819"/>
    <w:rsid w:val="00471C73"/>
    <w:rsid w:val="00473AB6"/>
    <w:rsid w:val="00474CDF"/>
    <w:rsid w:val="00474EEE"/>
    <w:rsid w:val="00475B6F"/>
    <w:rsid w:val="00475EA5"/>
    <w:rsid w:val="00476049"/>
    <w:rsid w:val="00476DC3"/>
    <w:rsid w:val="00477023"/>
    <w:rsid w:val="00481088"/>
    <w:rsid w:val="00481126"/>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CBC"/>
    <w:rsid w:val="004A77AF"/>
    <w:rsid w:val="004B1561"/>
    <w:rsid w:val="004B37FD"/>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D03BA"/>
    <w:rsid w:val="004D20E5"/>
    <w:rsid w:val="004D2766"/>
    <w:rsid w:val="004D4942"/>
    <w:rsid w:val="004D5075"/>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F092E"/>
    <w:rsid w:val="004F0E2C"/>
    <w:rsid w:val="004F1BBB"/>
    <w:rsid w:val="004F328A"/>
    <w:rsid w:val="004F4B1D"/>
    <w:rsid w:val="004F4FDA"/>
    <w:rsid w:val="004F560A"/>
    <w:rsid w:val="004F6E2D"/>
    <w:rsid w:val="00500AEE"/>
    <w:rsid w:val="00501CB2"/>
    <w:rsid w:val="005021A7"/>
    <w:rsid w:val="005023F9"/>
    <w:rsid w:val="005029BF"/>
    <w:rsid w:val="00503572"/>
    <w:rsid w:val="00503C46"/>
    <w:rsid w:val="00506ADA"/>
    <w:rsid w:val="00506DC6"/>
    <w:rsid w:val="0051010F"/>
    <w:rsid w:val="00512441"/>
    <w:rsid w:val="00512785"/>
    <w:rsid w:val="00513E19"/>
    <w:rsid w:val="0051508B"/>
    <w:rsid w:val="00515FF5"/>
    <w:rsid w:val="005179F5"/>
    <w:rsid w:val="00517AB4"/>
    <w:rsid w:val="00520349"/>
    <w:rsid w:val="00522769"/>
    <w:rsid w:val="005228CE"/>
    <w:rsid w:val="00523195"/>
    <w:rsid w:val="0052378B"/>
    <w:rsid w:val="00523C6B"/>
    <w:rsid w:val="0052445F"/>
    <w:rsid w:val="00526A07"/>
    <w:rsid w:val="00527C0B"/>
    <w:rsid w:val="00530099"/>
    <w:rsid w:val="005308BB"/>
    <w:rsid w:val="00531BA9"/>
    <w:rsid w:val="00532DCC"/>
    <w:rsid w:val="0053331A"/>
    <w:rsid w:val="00533DA0"/>
    <w:rsid w:val="00534667"/>
    <w:rsid w:val="005363D6"/>
    <w:rsid w:val="005364CA"/>
    <w:rsid w:val="0053744E"/>
    <w:rsid w:val="00537FE9"/>
    <w:rsid w:val="00540F6D"/>
    <w:rsid w:val="005430DE"/>
    <w:rsid w:val="0054408A"/>
    <w:rsid w:val="00544A10"/>
    <w:rsid w:val="00544EE7"/>
    <w:rsid w:val="005456C0"/>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C6B"/>
    <w:rsid w:val="00564999"/>
    <w:rsid w:val="00566E49"/>
    <w:rsid w:val="00566F45"/>
    <w:rsid w:val="005675F7"/>
    <w:rsid w:val="005676F5"/>
    <w:rsid w:val="005678B7"/>
    <w:rsid w:val="00567B61"/>
    <w:rsid w:val="00571F07"/>
    <w:rsid w:val="00573059"/>
    <w:rsid w:val="00574D67"/>
    <w:rsid w:val="00575F0D"/>
    <w:rsid w:val="00576EC5"/>
    <w:rsid w:val="0058047E"/>
    <w:rsid w:val="00580563"/>
    <w:rsid w:val="005805C0"/>
    <w:rsid w:val="00580980"/>
    <w:rsid w:val="00580E45"/>
    <w:rsid w:val="0058176C"/>
    <w:rsid w:val="00582027"/>
    <w:rsid w:val="005822ED"/>
    <w:rsid w:val="00582803"/>
    <w:rsid w:val="0058376D"/>
    <w:rsid w:val="00583ADF"/>
    <w:rsid w:val="00583B02"/>
    <w:rsid w:val="00584C53"/>
    <w:rsid w:val="00586AF5"/>
    <w:rsid w:val="00586C1B"/>
    <w:rsid w:val="00586E40"/>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AC8"/>
    <w:rsid w:val="005A765A"/>
    <w:rsid w:val="005A7FA8"/>
    <w:rsid w:val="005B05E6"/>
    <w:rsid w:val="005B0C69"/>
    <w:rsid w:val="005B1031"/>
    <w:rsid w:val="005B1872"/>
    <w:rsid w:val="005B22A2"/>
    <w:rsid w:val="005B240B"/>
    <w:rsid w:val="005B325C"/>
    <w:rsid w:val="005B3403"/>
    <w:rsid w:val="005B500E"/>
    <w:rsid w:val="005B5428"/>
    <w:rsid w:val="005B5BF1"/>
    <w:rsid w:val="005B5C45"/>
    <w:rsid w:val="005B7799"/>
    <w:rsid w:val="005C0C45"/>
    <w:rsid w:val="005C1A9B"/>
    <w:rsid w:val="005C1AF4"/>
    <w:rsid w:val="005C375D"/>
    <w:rsid w:val="005C4914"/>
    <w:rsid w:val="005C5303"/>
    <w:rsid w:val="005C5499"/>
    <w:rsid w:val="005C6219"/>
    <w:rsid w:val="005C6540"/>
    <w:rsid w:val="005C7FB6"/>
    <w:rsid w:val="005D07CE"/>
    <w:rsid w:val="005D10C7"/>
    <w:rsid w:val="005D397F"/>
    <w:rsid w:val="005D7224"/>
    <w:rsid w:val="005D738E"/>
    <w:rsid w:val="005D7E5E"/>
    <w:rsid w:val="005E0816"/>
    <w:rsid w:val="005E0AEF"/>
    <w:rsid w:val="005E0F99"/>
    <w:rsid w:val="005E1961"/>
    <w:rsid w:val="005E2A41"/>
    <w:rsid w:val="005E3653"/>
    <w:rsid w:val="005E3B1B"/>
    <w:rsid w:val="005E4ECB"/>
    <w:rsid w:val="005E4FE5"/>
    <w:rsid w:val="005E66C3"/>
    <w:rsid w:val="005F0012"/>
    <w:rsid w:val="005F0A31"/>
    <w:rsid w:val="005F15E4"/>
    <w:rsid w:val="005F3B5C"/>
    <w:rsid w:val="005F3D2C"/>
    <w:rsid w:val="005F443A"/>
    <w:rsid w:val="005F527E"/>
    <w:rsid w:val="005F53D0"/>
    <w:rsid w:val="005F5CDF"/>
    <w:rsid w:val="005F5DCF"/>
    <w:rsid w:val="005F5E77"/>
    <w:rsid w:val="005F6797"/>
    <w:rsid w:val="006004A3"/>
    <w:rsid w:val="00601046"/>
    <w:rsid w:val="006014E5"/>
    <w:rsid w:val="006015D9"/>
    <w:rsid w:val="00601A5D"/>
    <w:rsid w:val="00602902"/>
    <w:rsid w:val="0060354C"/>
    <w:rsid w:val="00605018"/>
    <w:rsid w:val="006056C6"/>
    <w:rsid w:val="00605A24"/>
    <w:rsid w:val="00605DA3"/>
    <w:rsid w:val="00606E35"/>
    <w:rsid w:val="006100DD"/>
    <w:rsid w:val="0061099B"/>
    <w:rsid w:val="00610CFC"/>
    <w:rsid w:val="006116C3"/>
    <w:rsid w:val="00612E2F"/>
    <w:rsid w:val="00612E44"/>
    <w:rsid w:val="00613959"/>
    <w:rsid w:val="00614BDD"/>
    <w:rsid w:val="00614D29"/>
    <w:rsid w:val="00615563"/>
    <w:rsid w:val="00615BAE"/>
    <w:rsid w:val="00615DB4"/>
    <w:rsid w:val="00615F62"/>
    <w:rsid w:val="00620BE6"/>
    <w:rsid w:val="00620D83"/>
    <w:rsid w:val="006212DC"/>
    <w:rsid w:val="00621E66"/>
    <w:rsid w:val="0062348C"/>
    <w:rsid w:val="00623736"/>
    <w:rsid w:val="00623D21"/>
    <w:rsid w:val="006250FD"/>
    <w:rsid w:val="0062626C"/>
    <w:rsid w:val="00627C67"/>
    <w:rsid w:val="00634228"/>
    <w:rsid w:val="006346B2"/>
    <w:rsid w:val="00634B83"/>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1B4"/>
    <w:rsid w:val="00653341"/>
    <w:rsid w:val="00653A3F"/>
    <w:rsid w:val="00653B6D"/>
    <w:rsid w:val="00654C57"/>
    <w:rsid w:val="0065637B"/>
    <w:rsid w:val="00657483"/>
    <w:rsid w:val="00657566"/>
    <w:rsid w:val="006609BA"/>
    <w:rsid w:val="00660B5A"/>
    <w:rsid w:val="00660BB8"/>
    <w:rsid w:val="006639C3"/>
    <w:rsid w:val="00665D17"/>
    <w:rsid w:val="0066762D"/>
    <w:rsid w:val="006677F4"/>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2024"/>
    <w:rsid w:val="00682378"/>
    <w:rsid w:val="006826F4"/>
    <w:rsid w:val="0068361F"/>
    <w:rsid w:val="0068366D"/>
    <w:rsid w:val="006849C4"/>
    <w:rsid w:val="00684B64"/>
    <w:rsid w:val="00684D9D"/>
    <w:rsid w:val="006902D1"/>
    <w:rsid w:val="00690A86"/>
    <w:rsid w:val="00690B95"/>
    <w:rsid w:val="00691339"/>
    <w:rsid w:val="00692DA4"/>
    <w:rsid w:val="00694264"/>
    <w:rsid w:val="00694899"/>
    <w:rsid w:val="00695284"/>
    <w:rsid w:val="0069528D"/>
    <w:rsid w:val="00695903"/>
    <w:rsid w:val="00697250"/>
    <w:rsid w:val="00697927"/>
    <w:rsid w:val="006A2022"/>
    <w:rsid w:val="006A2452"/>
    <w:rsid w:val="006A285B"/>
    <w:rsid w:val="006A2996"/>
    <w:rsid w:val="006A3B50"/>
    <w:rsid w:val="006A3E37"/>
    <w:rsid w:val="006A4BB9"/>
    <w:rsid w:val="006A5020"/>
    <w:rsid w:val="006A566F"/>
    <w:rsid w:val="006A5E7D"/>
    <w:rsid w:val="006A5F6D"/>
    <w:rsid w:val="006B0DF3"/>
    <w:rsid w:val="006B2C0E"/>
    <w:rsid w:val="006B2C93"/>
    <w:rsid w:val="006B31E6"/>
    <w:rsid w:val="006B35F9"/>
    <w:rsid w:val="006B3750"/>
    <w:rsid w:val="006B3DAF"/>
    <w:rsid w:val="006B43CF"/>
    <w:rsid w:val="006B57F9"/>
    <w:rsid w:val="006B6A93"/>
    <w:rsid w:val="006B6B1A"/>
    <w:rsid w:val="006B717C"/>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7040D9"/>
    <w:rsid w:val="00705B35"/>
    <w:rsid w:val="00706036"/>
    <w:rsid w:val="00706CB2"/>
    <w:rsid w:val="00707D06"/>
    <w:rsid w:val="007105B1"/>
    <w:rsid w:val="00711718"/>
    <w:rsid w:val="00713267"/>
    <w:rsid w:val="00713E40"/>
    <w:rsid w:val="007147ED"/>
    <w:rsid w:val="00715C48"/>
    <w:rsid w:val="00715FE7"/>
    <w:rsid w:val="00717204"/>
    <w:rsid w:val="00720132"/>
    <w:rsid w:val="00720C83"/>
    <w:rsid w:val="007225EE"/>
    <w:rsid w:val="00722972"/>
    <w:rsid w:val="007251BD"/>
    <w:rsid w:val="0072521F"/>
    <w:rsid w:val="00726493"/>
    <w:rsid w:val="00726C7B"/>
    <w:rsid w:val="007272D4"/>
    <w:rsid w:val="007273B9"/>
    <w:rsid w:val="00730CAE"/>
    <w:rsid w:val="0073287C"/>
    <w:rsid w:val="0073327C"/>
    <w:rsid w:val="0073377B"/>
    <w:rsid w:val="0073382E"/>
    <w:rsid w:val="00734548"/>
    <w:rsid w:val="00736735"/>
    <w:rsid w:val="007402CA"/>
    <w:rsid w:val="00740743"/>
    <w:rsid w:val="00740F0D"/>
    <w:rsid w:val="00740FD6"/>
    <w:rsid w:val="00741CA3"/>
    <w:rsid w:val="0074212F"/>
    <w:rsid w:val="007442FA"/>
    <w:rsid w:val="007448A6"/>
    <w:rsid w:val="00747B17"/>
    <w:rsid w:val="00747D9D"/>
    <w:rsid w:val="007500D2"/>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EB9"/>
    <w:rsid w:val="00766030"/>
    <w:rsid w:val="00766DB9"/>
    <w:rsid w:val="00770073"/>
    <w:rsid w:val="0077018F"/>
    <w:rsid w:val="00771E4F"/>
    <w:rsid w:val="0077298A"/>
    <w:rsid w:val="007737AA"/>
    <w:rsid w:val="00775564"/>
    <w:rsid w:val="00776955"/>
    <w:rsid w:val="0077710E"/>
    <w:rsid w:val="00777607"/>
    <w:rsid w:val="0077767C"/>
    <w:rsid w:val="00777A64"/>
    <w:rsid w:val="007806EA"/>
    <w:rsid w:val="00780D32"/>
    <w:rsid w:val="00781A7D"/>
    <w:rsid w:val="00781E09"/>
    <w:rsid w:val="00782843"/>
    <w:rsid w:val="00787D73"/>
    <w:rsid w:val="0079221D"/>
    <w:rsid w:val="00795793"/>
    <w:rsid w:val="007978DE"/>
    <w:rsid w:val="007A291E"/>
    <w:rsid w:val="007A54BA"/>
    <w:rsid w:val="007A583C"/>
    <w:rsid w:val="007A6167"/>
    <w:rsid w:val="007A66D8"/>
    <w:rsid w:val="007A6867"/>
    <w:rsid w:val="007A7B9F"/>
    <w:rsid w:val="007B006B"/>
    <w:rsid w:val="007B01E7"/>
    <w:rsid w:val="007B0791"/>
    <w:rsid w:val="007B0A17"/>
    <w:rsid w:val="007B2F25"/>
    <w:rsid w:val="007B3B8D"/>
    <w:rsid w:val="007B43DF"/>
    <w:rsid w:val="007B4C1C"/>
    <w:rsid w:val="007B4F50"/>
    <w:rsid w:val="007B50BE"/>
    <w:rsid w:val="007B58B1"/>
    <w:rsid w:val="007B5CBD"/>
    <w:rsid w:val="007B6607"/>
    <w:rsid w:val="007B72B2"/>
    <w:rsid w:val="007B7F5A"/>
    <w:rsid w:val="007C02AF"/>
    <w:rsid w:val="007C18BF"/>
    <w:rsid w:val="007C27EF"/>
    <w:rsid w:val="007C2931"/>
    <w:rsid w:val="007C32C5"/>
    <w:rsid w:val="007C372B"/>
    <w:rsid w:val="007C52EA"/>
    <w:rsid w:val="007C5387"/>
    <w:rsid w:val="007C67D6"/>
    <w:rsid w:val="007C7A52"/>
    <w:rsid w:val="007C7C20"/>
    <w:rsid w:val="007D0F24"/>
    <w:rsid w:val="007D1402"/>
    <w:rsid w:val="007D2ED4"/>
    <w:rsid w:val="007D32EC"/>
    <w:rsid w:val="007D475A"/>
    <w:rsid w:val="007D5106"/>
    <w:rsid w:val="007D5625"/>
    <w:rsid w:val="007D6375"/>
    <w:rsid w:val="007D685F"/>
    <w:rsid w:val="007D7450"/>
    <w:rsid w:val="007D7570"/>
    <w:rsid w:val="007D7650"/>
    <w:rsid w:val="007E14FB"/>
    <w:rsid w:val="007E1A4F"/>
    <w:rsid w:val="007E1E9F"/>
    <w:rsid w:val="007E2FA7"/>
    <w:rsid w:val="007E3579"/>
    <w:rsid w:val="007E363D"/>
    <w:rsid w:val="007E41CF"/>
    <w:rsid w:val="007E42E3"/>
    <w:rsid w:val="007E5DD0"/>
    <w:rsid w:val="007E60FA"/>
    <w:rsid w:val="007E79B7"/>
    <w:rsid w:val="007F0EA2"/>
    <w:rsid w:val="007F2167"/>
    <w:rsid w:val="007F25C3"/>
    <w:rsid w:val="007F459D"/>
    <w:rsid w:val="007F7AF3"/>
    <w:rsid w:val="007F7DAE"/>
    <w:rsid w:val="00800A00"/>
    <w:rsid w:val="0080386F"/>
    <w:rsid w:val="0080448E"/>
    <w:rsid w:val="008056A1"/>
    <w:rsid w:val="00806B1F"/>
    <w:rsid w:val="00811DCD"/>
    <w:rsid w:val="00811E9F"/>
    <w:rsid w:val="00812A19"/>
    <w:rsid w:val="00813310"/>
    <w:rsid w:val="00813410"/>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6550"/>
    <w:rsid w:val="0082750D"/>
    <w:rsid w:val="00827CC3"/>
    <w:rsid w:val="008304EC"/>
    <w:rsid w:val="00830BBE"/>
    <w:rsid w:val="00831200"/>
    <w:rsid w:val="008316D5"/>
    <w:rsid w:val="00831989"/>
    <w:rsid w:val="00831AFC"/>
    <w:rsid w:val="0083315B"/>
    <w:rsid w:val="00833CDB"/>
    <w:rsid w:val="00835294"/>
    <w:rsid w:val="00836C04"/>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537A"/>
    <w:rsid w:val="0088584C"/>
    <w:rsid w:val="00886AD0"/>
    <w:rsid w:val="008904AD"/>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4C82"/>
    <w:rsid w:val="008B60BD"/>
    <w:rsid w:val="008B6B2A"/>
    <w:rsid w:val="008B7013"/>
    <w:rsid w:val="008B7895"/>
    <w:rsid w:val="008C28B7"/>
    <w:rsid w:val="008C2C3F"/>
    <w:rsid w:val="008C3145"/>
    <w:rsid w:val="008C4646"/>
    <w:rsid w:val="008C4815"/>
    <w:rsid w:val="008C4CC6"/>
    <w:rsid w:val="008C4F81"/>
    <w:rsid w:val="008C522C"/>
    <w:rsid w:val="008C52EE"/>
    <w:rsid w:val="008C571E"/>
    <w:rsid w:val="008C70C7"/>
    <w:rsid w:val="008C7C0B"/>
    <w:rsid w:val="008C7CE1"/>
    <w:rsid w:val="008D1225"/>
    <w:rsid w:val="008D1D0E"/>
    <w:rsid w:val="008D1F15"/>
    <w:rsid w:val="008D1F2B"/>
    <w:rsid w:val="008D3B96"/>
    <w:rsid w:val="008D5210"/>
    <w:rsid w:val="008D6416"/>
    <w:rsid w:val="008D652C"/>
    <w:rsid w:val="008D7F6B"/>
    <w:rsid w:val="008E05E9"/>
    <w:rsid w:val="008E0D37"/>
    <w:rsid w:val="008E2D53"/>
    <w:rsid w:val="008E4467"/>
    <w:rsid w:val="008E4CD7"/>
    <w:rsid w:val="008E641D"/>
    <w:rsid w:val="008E660D"/>
    <w:rsid w:val="008E66E5"/>
    <w:rsid w:val="008E7DD4"/>
    <w:rsid w:val="008F056F"/>
    <w:rsid w:val="008F21C1"/>
    <w:rsid w:val="008F305A"/>
    <w:rsid w:val="008F3154"/>
    <w:rsid w:val="008F3465"/>
    <w:rsid w:val="008F3512"/>
    <w:rsid w:val="008F371C"/>
    <w:rsid w:val="008F3D5F"/>
    <w:rsid w:val="008F438E"/>
    <w:rsid w:val="008F66BA"/>
    <w:rsid w:val="008F7D54"/>
    <w:rsid w:val="008F7DD2"/>
    <w:rsid w:val="009004F9"/>
    <w:rsid w:val="0090344A"/>
    <w:rsid w:val="0090383C"/>
    <w:rsid w:val="0090561B"/>
    <w:rsid w:val="009070E0"/>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6673"/>
    <w:rsid w:val="00926FCA"/>
    <w:rsid w:val="009271A2"/>
    <w:rsid w:val="0093027F"/>
    <w:rsid w:val="0093151B"/>
    <w:rsid w:val="00931738"/>
    <w:rsid w:val="00931B31"/>
    <w:rsid w:val="009325AE"/>
    <w:rsid w:val="009346E0"/>
    <w:rsid w:val="009349B5"/>
    <w:rsid w:val="0093602A"/>
    <w:rsid w:val="00940224"/>
    <w:rsid w:val="009402E0"/>
    <w:rsid w:val="009425A7"/>
    <w:rsid w:val="0094265B"/>
    <w:rsid w:val="00942CF7"/>
    <w:rsid w:val="00942E4C"/>
    <w:rsid w:val="00944900"/>
    <w:rsid w:val="00944EA3"/>
    <w:rsid w:val="0094583D"/>
    <w:rsid w:val="00945BCE"/>
    <w:rsid w:val="009474C1"/>
    <w:rsid w:val="00950947"/>
    <w:rsid w:val="009509BD"/>
    <w:rsid w:val="00950C0B"/>
    <w:rsid w:val="00951984"/>
    <w:rsid w:val="0095439B"/>
    <w:rsid w:val="00954EC8"/>
    <w:rsid w:val="009553FC"/>
    <w:rsid w:val="009554DD"/>
    <w:rsid w:val="00957E5D"/>
    <w:rsid w:val="0096009C"/>
    <w:rsid w:val="009624C2"/>
    <w:rsid w:val="0096374D"/>
    <w:rsid w:val="00966DA4"/>
    <w:rsid w:val="00970201"/>
    <w:rsid w:val="00971402"/>
    <w:rsid w:val="00971744"/>
    <w:rsid w:val="00971830"/>
    <w:rsid w:val="00971A5A"/>
    <w:rsid w:val="00972C2E"/>
    <w:rsid w:val="00972EB6"/>
    <w:rsid w:val="0097707B"/>
    <w:rsid w:val="00980A15"/>
    <w:rsid w:val="009846CF"/>
    <w:rsid w:val="00984BF8"/>
    <w:rsid w:val="009850BA"/>
    <w:rsid w:val="00985D75"/>
    <w:rsid w:val="00986146"/>
    <w:rsid w:val="00987534"/>
    <w:rsid w:val="00990E20"/>
    <w:rsid w:val="00990ED9"/>
    <w:rsid w:val="00992888"/>
    <w:rsid w:val="00992AA9"/>
    <w:rsid w:val="009947F1"/>
    <w:rsid w:val="009949CE"/>
    <w:rsid w:val="00994F03"/>
    <w:rsid w:val="009972B4"/>
    <w:rsid w:val="009A01F1"/>
    <w:rsid w:val="009A045C"/>
    <w:rsid w:val="009A081F"/>
    <w:rsid w:val="009A0EB3"/>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859"/>
    <w:rsid w:val="009B6E90"/>
    <w:rsid w:val="009B7E61"/>
    <w:rsid w:val="009C0395"/>
    <w:rsid w:val="009C0670"/>
    <w:rsid w:val="009C0DB6"/>
    <w:rsid w:val="009C2D4D"/>
    <w:rsid w:val="009C3F50"/>
    <w:rsid w:val="009C4DDA"/>
    <w:rsid w:val="009C56B9"/>
    <w:rsid w:val="009C60FB"/>
    <w:rsid w:val="009C61D4"/>
    <w:rsid w:val="009C6A99"/>
    <w:rsid w:val="009C6D41"/>
    <w:rsid w:val="009C750F"/>
    <w:rsid w:val="009C796D"/>
    <w:rsid w:val="009D18C6"/>
    <w:rsid w:val="009D1DA9"/>
    <w:rsid w:val="009D3922"/>
    <w:rsid w:val="009D4471"/>
    <w:rsid w:val="009D4775"/>
    <w:rsid w:val="009D4AE0"/>
    <w:rsid w:val="009D56BB"/>
    <w:rsid w:val="009D6DFE"/>
    <w:rsid w:val="009D771F"/>
    <w:rsid w:val="009E191B"/>
    <w:rsid w:val="009E2771"/>
    <w:rsid w:val="009E322F"/>
    <w:rsid w:val="009E4300"/>
    <w:rsid w:val="009E4DF6"/>
    <w:rsid w:val="009E58C7"/>
    <w:rsid w:val="009E6334"/>
    <w:rsid w:val="009E7251"/>
    <w:rsid w:val="009E7A57"/>
    <w:rsid w:val="009E7EE6"/>
    <w:rsid w:val="009F1542"/>
    <w:rsid w:val="009F1734"/>
    <w:rsid w:val="009F2E83"/>
    <w:rsid w:val="009F3B03"/>
    <w:rsid w:val="009F4E51"/>
    <w:rsid w:val="009F652E"/>
    <w:rsid w:val="009F669E"/>
    <w:rsid w:val="009F6ED1"/>
    <w:rsid w:val="00A00155"/>
    <w:rsid w:val="00A01043"/>
    <w:rsid w:val="00A0126B"/>
    <w:rsid w:val="00A01720"/>
    <w:rsid w:val="00A02454"/>
    <w:rsid w:val="00A02548"/>
    <w:rsid w:val="00A02D52"/>
    <w:rsid w:val="00A03A7D"/>
    <w:rsid w:val="00A03B4A"/>
    <w:rsid w:val="00A04AA5"/>
    <w:rsid w:val="00A072C1"/>
    <w:rsid w:val="00A113B3"/>
    <w:rsid w:val="00A11694"/>
    <w:rsid w:val="00A12F12"/>
    <w:rsid w:val="00A134B2"/>
    <w:rsid w:val="00A139E6"/>
    <w:rsid w:val="00A14C28"/>
    <w:rsid w:val="00A16061"/>
    <w:rsid w:val="00A16582"/>
    <w:rsid w:val="00A16772"/>
    <w:rsid w:val="00A16E83"/>
    <w:rsid w:val="00A17085"/>
    <w:rsid w:val="00A2036F"/>
    <w:rsid w:val="00A21509"/>
    <w:rsid w:val="00A22BC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42017"/>
    <w:rsid w:val="00A4272C"/>
    <w:rsid w:val="00A428EA"/>
    <w:rsid w:val="00A43172"/>
    <w:rsid w:val="00A43A21"/>
    <w:rsid w:val="00A446B7"/>
    <w:rsid w:val="00A45306"/>
    <w:rsid w:val="00A45A73"/>
    <w:rsid w:val="00A46106"/>
    <w:rsid w:val="00A47E87"/>
    <w:rsid w:val="00A47ED7"/>
    <w:rsid w:val="00A47F97"/>
    <w:rsid w:val="00A5258C"/>
    <w:rsid w:val="00A526BF"/>
    <w:rsid w:val="00A541BE"/>
    <w:rsid w:val="00A57180"/>
    <w:rsid w:val="00A6060F"/>
    <w:rsid w:val="00A60BE4"/>
    <w:rsid w:val="00A6169A"/>
    <w:rsid w:val="00A628ED"/>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B2"/>
    <w:rsid w:val="00A77112"/>
    <w:rsid w:val="00A77A56"/>
    <w:rsid w:val="00A80438"/>
    <w:rsid w:val="00A818B5"/>
    <w:rsid w:val="00A81BA4"/>
    <w:rsid w:val="00A824FF"/>
    <w:rsid w:val="00A82FDB"/>
    <w:rsid w:val="00A839BC"/>
    <w:rsid w:val="00A841EE"/>
    <w:rsid w:val="00A843ED"/>
    <w:rsid w:val="00A85A0C"/>
    <w:rsid w:val="00A866D6"/>
    <w:rsid w:val="00A867D8"/>
    <w:rsid w:val="00A90878"/>
    <w:rsid w:val="00A92684"/>
    <w:rsid w:val="00A93C69"/>
    <w:rsid w:val="00A93EE1"/>
    <w:rsid w:val="00A94509"/>
    <w:rsid w:val="00A947BE"/>
    <w:rsid w:val="00A948B1"/>
    <w:rsid w:val="00A95790"/>
    <w:rsid w:val="00A969DE"/>
    <w:rsid w:val="00A97396"/>
    <w:rsid w:val="00A97565"/>
    <w:rsid w:val="00AA0D88"/>
    <w:rsid w:val="00AA1E13"/>
    <w:rsid w:val="00AA1FEB"/>
    <w:rsid w:val="00AA24CB"/>
    <w:rsid w:val="00AA4832"/>
    <w:rsid w:val="00AA52B4"/>
    <w:rsid w:val="00AA5A2D"/>
    <w:rsid w:val="00AA7982"/>
    <w:rsid w:val="00AB14E0"/>
    <w:rsid w:val="00AB1FF4"/>
    <w:rsid w:val="00AB3527"/>
    <w:rsid w:val="00AB38CA"/>
    <w:rsid w:val="00AB511C"/>
    <w:rsid w:val="00AB60E2"/>
    <w:rsid w:val="00AB6456"/>
    <w:rsid w:val="00AB6AEF"/>
    <w:rsid w:val="00AB7107"/>
    <w:rsid w:val="00AB7139"/>
    <w:rsid w:val="00AB7C34"/>
    <w:rsid w:val="00AC14D1"/>
    <w:rsid w:val="00AC22A0"/>
    <w:rsid w:val="00AC392D"/>
    <w:rsid w:val="00AC3C2E"/>
    <w:rsid w:val="00AC488B"/>
    <w:rsid w:val="00AC5D60"/>
    <w:rsid w:val="00AC6957"/>
    <w:rsid w:val="00AC76F5"/>
    <w:rsid w:val="00AD2869"/>
    <w:rsid w:val="00AD2B96"/>
    <w:rsid w:val="00AD478B"/>
    <w:rsid w:val="00AD5A34"/>
    <w:rsid w:val="00AD5F18"/>
    <w:rsid w:val="00AE0F11"/>
    <w:rsid w:val="00AE1C47"/>
    <w:rsid w:val="00AE1E2E"/>
    <w:rsid w:val="00AE2057"/>
    <w:rsid w:val="00AE2820"/>
    <w:rsid w:val="00AE2BAB"/>
    <w:rsid w:val="00AE33ED"/>
    <w:rsid w:val="00AE5BDE"/>
    <w:rsid w:val="00AF044A"/>
    <w:rsid w:val="00AF0FF7"/>
    <w:rsid w:val="00AF1F2F"/>
    <w:rsid w:val="00AF2E25"/>
    <w:rsid w:val="00AF42FD"/>
    <w:rsid w:val="00AF59E7"/>
    <w:rsid w:val="00AF6265"/>
    <w:rsid w:val="00AF6BB4"/>
    <w:rsid w:val="00AF7523"/>
    <w:rsid w:val="00B018BC"/>
    <w:rsid w:val="00B02A35"/>
    <w:rsid w:val="00B04C55"/>
    <w:rsid w:val="00B0682B"/>
    <w:rsid w:val="00B07CDD"/>
    <w:rsid w:val="00B07E11"/>
    <w:rsid w:val="00B11456"/>
    <w:rsid w:val="00B114A3"/>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3A59"/>
    <w:rsid w:val="00B23BDF"/>
    <w:rsid w:val="00B25807"/>
    <w:rsid w:val="00B25DA6"/>
    <w:rsid w:val="00B25E6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F5D"/>
    <w:rsid w:val="00B44032"/>
    <w:rsid w:val="00B45E12"/>
    <w:rsid w:val="00B468AF"/>
    <w:rsid w:val="00B519C5"/>
    <w:rsid w:val="00B51B78"/>
    <w:rsid w:val="00B528CF"/>
    <w:rsid w:val="00B53C22"/>
    <w:rsid w:val="00B53F3F"/>
    <w:rsid w:val="00B540E7"/>
    <w:rsid w:val="00B541B9"/>
    <w:rsid w:val="00B55791"/>
    <w:rsid w:val="00B55BBD"/>
    <w:rsid w:val="00B56AC9"/>
    <w:rsid w:val="00B600D9"/>
    <w:rsid w:val="00B61465"/>
    <w:rsid w:val="00B6397D"/>
    <w:rsid w:val="00B6405A"/>
    <w:rsid w:val="00B64466"/>
    <w:rsid w:val="00B653BC"/>
    <w:rsid w:val="00B65763"/>
    <w:rsid w:val="00B66AB4"/>
    <w:rsid w:val="00B67AC9"/>
    <w:rsid w:val="00B67CFF"/>
    <w:rsid w:val="00B7072F"/>
    <w:rsid w:val="00B726BD"/>
    <w:rsid w:val="00B72966"/>
    <w:rsid w:val="00B745B1"/>
    <w:rsid w:val="00B77A7D"/>
    <w:rsid w:val="00B77D1D"/>
    <w:rsid w:val="00B80104"/>
    <w:rsid w:val="00B805E4"/>
    <w:rsid w:val="00B80DAE"/>
    <w:rsid w:val="00B814E7"/>
    <w:rsid w:val="00B82698"/>
    <w:rsid w:val="00B8272E"/>
    <w:rsid w:val="00B833BF"/>
    <w:rsid w:val="00B84B85"/>
    <w:rsid w:val="00B84C76"/>
    <w:rsid w:val="00B853DA"/>
    <w:rsid w:val="00B86576"/>
    <w:rsid w:val="00B86DCD"/>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6CC7"/>
    <w:rsid w:val="00BA6FDB"/>
    <w:rsid w:val="00BA7021"/>
    <w:rsid w:val="00BA7C2B"/>
    <w:rsid w:val="00BA7DA0"/>
    <w:rsid w:val="00BA7EC6"/>
    <w:rsid w:val="00BB0945"/>
    <w:rsid w:val="00BB43D3"/>
    <w:rsid w:val="00BB4A5F"/>
    <w:rsid w:val="00BB4D31"/>
    <w:rsid w:val="00BB662B"/>
    <w:rsid w:val="00BB7097"/>
    <w:rsid w:val="00BB7392"/>
    <w:rsid w:val="00BB7EF4"/>
    <w:rsid w:val="00BC079B"/>
    <w:rsid w:val="00BC1D50"/>
    <w:rsid w:val="00BC2298"/>
    <w:rsid w:val="00BC4B77"/>
    <w:rsid w:val="00BC4EB6"/>
    <w:rsid w:val="00BC4FB5"/>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B7"/>
    <w:rsid w:val="00C1124D"/>
    <w:rsid w:val="00C118B3"/>
    <w:rsid w:val="00C122C6"/>
    <w:rsid w:val="00C133E4"/>
    <w:rsid w:val="00C133E7"/>
    <w:rsid w:val="00C13BE5"/>
    <w:rsid w:val="00C15A80"/>
    <w:rsid w:val="00C16962"/>
    <w:rsid w:val="00C16C27"/>
    <w:rsid w:val="00C1753B"/>
    <w:rsid w:val="00C20017"/>
    <w:rsid w:val="00C20615"/>
    <w:rsid w:val="00C22F62"/>
    <w:rsid w:val="00C23589"/>
    <w:rsid w:val="00C24C68"/>
    <w:rsid w:val="00C24F14"/>
    <w:rsid w:val="00C251B7"/>
    <w:rsid w:val="00C256D7"/>
    <w:rsid w:val="00C26BF6"/>
    <w:rsid w:val="00C27038"/>
    <w:rsid w:val="00C31BA5"/>
    <w:rsid w:val="00C3214A"/>
    <w:rsid w:val="00C32AA5"/>
    <w:rsid w:val="00C33426"/>
    <w:rsid w:val="00C34633"/>
    <w:rsid w:val="00C349E8"/>
    <w:rsid w:val="00C352EC"/>
    <w:rsid w:val="00C35459"/>
    <w:rsid w:val="00C36621"/>
    <w:rsid w:val="00C40F2B"/>
    <w:rsid w:val="00C42257"/>
    <w:rsid w:val="00C4247A"/>
    <w:rsid w:val="00C42505"/>
    <w:rsid w:val="00C44691"/>
    <w:rsid w:val="00C46101"/>
    <w:rsid w:val="00C46231"/>
    <w:rsid w:val="00C46887"/>
    <w:rsid w:val="00C47F3D"/>
    <w:rsid w:val="00C5255D"/>
    <w:rsid w:val="00C5270F"/>
    <w:rsid w:val="00C53BC6"/>
    <w:rsid w:val="00C54416"/>
    <w:rsid w:val="00C54DA6"/>
    <w:rsid w:val="00C55787"/>
    <w:rsid w:val="00C57059"/>
    <w:rsid w:val="00C609A5"/>
    <w:rsid w:val="00C61F15"/>
    <w:rsid w:val="00C620F4"/>
    <w:rsid w:val="00C62769"/>
    <w:rsid w:val="00C632A2"/>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8B5"/>
    <w:rsid w:val="00C8243D"/>
    <w:rsid w:val="00C83326"/>
    <w:rsid w:val="00C839C7"/>
    <w:rsid w:val="00C83B36"/>
    <w:rsid w:val="00C852D4"/>
    <w:rsid w:val="00C8560B"/>
    <w:rsid w:val="00C87E2D"/>
    <w:rsid w:val="00C908AE"/>
    <w:rsid w:val="00C90DAF"/>
    <w:rsid w:val="00C90EA8"/>
    <w:rsid w:val="00C916B4"/>
    <w:rsid w:val="00C91BD8"/>
    <w:rsid w:val="00C9597C"/>
    <w:rsid w:val="00C9627B"/>
    <w:rsid w:val="00C962F1"/>
    <w:rsid w:val="00C9657E"/>
    <w:rsid w:val="00C9692E"/>
    <w:rsid w:val="00C9773F"/>
    <w:rsid w:val="00CA13DB"/>
    <w:rsid w:val="00CA1F7A"/>
    <w:rsid w:val="00CA2EAA"/>
    <w:rsid w:val="00CA3848"/>
    <w:rsid w:val="00CA3EDB"/>
    <w:rsid w:val="00CA4F9B"/>
    <w:rsid w:val="00CA58E8"/>
    <w:rsid w:val="00CA637F"/>
    <w:rsid w:val="00CA6C44"/>
    <w:rsid w:val="00CA6DD5"/>
    <w:rsid w:val="00CA7170"/>
    <w:rsid w:val="00CA738A"/>
    <w:rsid w:val="00CA7753"/>
    <w:rsid w:val="00CA7E0E"/>
    <w:rsid w:val="00CB06AB"/>
    <w:rsid w:val="00CB0E75"/>
    <w:rsid w:val="00CB1504"/>
    <w:rsid w:val="00CB2742"/>
    <w:rsid w:val="00CB307D"/>
    <w:rsid w:val="00CB36B3"/>
    <w:rsid w:val="00CB387F"/>
    <w:rsid w:val="00CB5F69"/>
    <w:rsid w:val="00CB763B"/>
    <w:rsid w:val="00CC08EE"/>
    <w:rsid w:val="00CC08F1"/>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2E5E"/>
    <w:rsid w:val="00CE3F98"/>
    <w:rsid w:val="00CE4A4A"/>
    <w:rsid w:val="00CE4B31"/>
    <w:rsid w:val="00CE5886"/>
    <w:rsid w:val="00CE701B"/>
    <w:rsid w:val="00CE7331"/>
    <w:rsid w:val="00CE7473"/>
    <w:rsid w:val="00CF0732"/>
    <w:rsid w:val="00CF1126"/>
    <w:rsid w:val="00CF24AD"/>
    <w:rsid w:val="00CF4273"/>
    <w:rsid w:val="00CF49C3"/>
    <w:rsid w:val="00CF5FBE"/>
    <w:rsid w:val="00CF6275"/>
    <w:rsid w:val="00CF7606"/>
    <w:rsid w:val="00CF77D6"/>
    <w:rsid w:val="00D00889"/>
    <w:rsid w:val="00D01238"/>
    <w:rsid w:val="00D01E89"/>
    <w:rsid w:val="00D0202D"/>
    <w:rsid w:val="00D028C3"/>
    <w:rsid w:val="00D03781"/>
    <w:rsid w:val="00D0450A"/>
    <w:rsid w:val="00D062B9"/>
    <w:rsid w:val="00D065DA"/>
    <w:rsid w:val="00D06E1E"/>
    <w:rsid w:val="00D1018B"/>
    <w:rsid w:val="00D10A04"/>
    <w:rsid w:val="00D128D7"/>
    <w:rsid w:val="00D131E9"/>
    <w:rsid w:val="00D1471A"/>
    <w:rsid w:val="00D152D9"/>
    <w:rsid w:val="00D15BC3"/>
    <w:rsid w:val="00D16328"/>
    <w:rsid w:val="00D16FF9"/>
    <w:rsid w:val="00D17D88"/>
    <w:rsid w:val="00D17DF9"/>
    <w:rsid w:val="00D2167C"/>
    <w:rsid w:val="00D2282C"/>
    <w:rsid w:val="00D23D1F"/>
    <w:rsid w:val="00D24C21"/>
    <w:rsid w:val="00D26BBF"/>
    <w:rsid w:val="00D26E9C"/>
    <w:rsid w:val="00D27BC8"/>
    <w:rsid w:val="00D316FE"/>
    <w:rsid w:val="00D3262D"/>
    <w:rsid w:val="00D32A6A"/>
    <w:rsid w:val="00D34976"/>
    <w:rsid w:val="00D35EDA"/>
    <w:rsid w:val="00D36D16"/>
    <w:rsid w:val="00D379DA"/>
    <w:rsid w:val="00D41955"/>
    <w:rsid w:val="00D41CEF"/>
    <w:rsid w:val="00D42A9B"/>
    <w:rsid w:val="00D436B0"/>
    <w:rsid w:val="00D43EC5"/>
    <w:rsid w:val="00D44378"/>
    <w:rsid w:val="00D44C7A"/>
    <w:rsid w:val="00D44E9F"/>
    <w:rsid w:val="00D46528"/>
    <w:rsid w:val="00D47EDA"/>
    <w:rsid w:val="00D507E7"/>
    <w:rsid w:val="00D516BE"/>
    <w:rsid w:val="00D521CB"/>
    <w:rsid w:val="00D52596"/>
    <w:rsid w:val="00D53811"/>
    <w:rsid w:val="00D53DAE"/>
    <w:rsid w:val="00D543C1"/>
    <w:rsid w:val="00D54667"/>
    <w:rsid w:val="00D5516F"/>
    <w:rsid w:val="00D554B6"/>
    <w:rsid w:val="00D566D4"/>
    <w:rsid w:val="00D604C1"/>
    <w:rsid w:val="00D62698"/>
    <w:rsid w:val="00D62831"/>
    <w:rsid w:val="00D62DC1"/>
    <w:rsid w:val="00D641AA"/>
    <w:rsid w:val="00D64AD2"/>
    <w:rsid w:val="00D65F6E"/>
    <w:rsid w:val="00D702D2"/>
    <w:rsid w:val="00D7034F"/>
    <w:rsid w:val="00D70AD3"/>
    <w:rsid w:val="00D70DF4"/>
    <w:rsid w:val="00D72D6A"/>
    <w:rsid w:val="00D733A1"/>
    <w:rsid w:val="00D74300"/>
    <w:rsid w:val="00D75A3C"/>
    <w:rsid w:val="00D76680"/>
    <w:rsid w:val="00D802C2"/>
    <w:rsid w:val="00D803BC"/>
    <w:rsid w:val="00D81D55"/>
    <w:rsid w:val="00D81F28"/>
    <w:rsid w:val="00D8253A"/>
    <w:rsid w:val="00D82FC4"/>
    <w:rsid w:val="00D83FF9"/>
    <w:rsid w:val="00D849C0"/>
    <w:rsid w:val="00D84DBD"/>
    <w:rsid w:val="00D85988"/>
    <w:rsid w:val="00D860A8"/>
    <w:rsid w:val="00D86166"/>
    <w:rsid w:val="00D86C8B"/>
    <w:rsid w:val="00D8737F"/>
    <w:rsid w:val="00D87764"/>
    <w:rsid w:val="00D90E79"/>
    <w:rsid w:val="00D92B64"/>
    <w:rsid w:val="00D93E39"/>
    <w:rsid w:val="00D940CE"/>
    <w:rsid w:val="00D95A74"/>
    <w:rsid w:val="00D96803"/>
    <w:rsid w:val="00D96A40"/>
    <w:rsid w:val="00D96B14"/>
    <w:rsid w:val="00D96F38"/>
    <w:rsid w:val="00D97978"/>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5405"/>
    <w:rsid w:val="00DB548B"/>
    <w:rsid w:val="00DB59BA"/>
    <w:rsid w:val="00DB689E"/>
    <w:rsid w:val="00DB751D"/>
    <w:rsid w:val="00DC0491"/>
    <w:rsid w:val="00DC09E2"/>
    <w:rsid w:val="00DC23E3"/>
    <w:rsid w:val="00DC3596"/>
    <w:rsid w:val="00DC5559"/>
    <w:rsid w:val="00DC5BE7"/>
    <w:rsid w:val="00DC5EAF"/>
    <w:rsid w:val="00DD19FE"/>
    <w:rsid w:val="00DD203D"/>
    <w:rsid w:val="00DD216E"/>
    <w:rsid w:val="00DD2D22"/>
    <w:rsid w:val="00DD463B"/>
    <w:rsid w:val="00DD5E88"/>
    <w:rsid w:val="00DD6531"/>
    <w:rsid w:val="00DD7BA3"/>
    <w:rsid w:val="00DE0003"/>
    <w:rsid w:val="00DE0119"/>
    <w:rsid w:val="00DE05C2"/>
    <w:rsid w:val="00DE0E79"/>
    <w:rsid w:val="00DE1CCB"/>
    <w:rsid w:val="00DE2AF3"/>
    <w:rsid w:val="00DE4B3D"/>
    <w:rsid w:val="00DE7027"/>
    <w:rsid w:val="00DE7B3D"/>
    <w:rsid w:val="00DF4282"/>
    <w:rsid w:val="00DF4DB1"/>
    <w:rsid w:val="00DF4F75"/>
    <w:rsid w:val="00DF61AF"/>
    <w:rsid w:val="00DF7E39"/>
    <w:rsid w:val="00E00787"/>
    <w:rsid w:val="00E00B96"/>
    <w:rsid w:val="00E010D2"/>
    <w:rsid w:val="00E021D8"/>
    <w:rsid w:val="00E0264D"/>
    <w:rsid w:val="00E03B3D"/>
    <w:rsid w:val="00E04240"/>
    <w:rsid w:val="00E05C6B"/>
    <w:rsid w:val="00E07645"/>
    <w:rsid w:val="00E10C48"/>
    <w:rsid w:val="00E10EB8"/>
    <w:rsid w:val="00E118E0"/>
    <w:rsid w:val="00E12966"/>
    <w:rsid w:val="00E129DE"/>
    <w:rsid w:val="00E13C8B"/>
    <w:rsid w:val="00E14292"/>
    <w:rsid w:val="00E14BDC"/>
    <w:rsid w:val="00E14E4F"/>
    <w:rsid w:val="00E150CB"/>
    <w:rsid w:val="00E15476"/>
    <w:rsid w:val="00E15592"/>
    <w:rsid w:val="00E1563B"/>
    <w:rsid w:val="00E15721"/>
    <w:rsid w:val="00E15C7D"/>
    <w:rsid w:val="00E15ED5"/>
    <w:rsid w:val="00E16038"/>
    <w:rsid w:val="00E1633B"/>
    <w:rsid w:val="00E167E1"/>
    <w:rsid w:val="00E17832"/>
    <w:rsid w:val="00E21C48"/>
    <w:rsid w:val="00E23764"/>
    <w:rsid w:val="00E25497"/>
    <w:rsid w:val="00E25BD9"/>
    <w:rsid w:val="00E26147"/>
    <w:rsid w:val="00E2730C"/>
    <w:rsid w:val="00E32479"/>
    <w:rsid w:val="00E324A0"/>
    <w:rsid w:val="00E32E2A"/>
    <w:rsid w:val="00E3342C"/>
    <w:rsid w:val="00E34D03"/>
    <w:rsid w:val="00E35D00"/>
    <w:rsid w:val="00E3666B"/>
    <w:rsid w:val="00E36952"/>
    <w:rsid w:val="00E36DE6"/>
    <w:rsid w:val="00E372B5"/>
    <w:rsid w:val="00E37C9E"/>
    <w:rsid w:val="00E40337"/>
    <w:rsid w:val="00E40635"/>
    <w:rsid w:val="00E41BE8"/>
    <w:rsid w:val="00E41D55"/>
    <w:rsid w:val="00E43350"/>
    <w:rsid w:val="00E43737"/>
    <w:rsid w:val="00E43C55"/>
    <w:rsid w:val="00E441FD"/>
    <w:rsid w:val="00E4439E"/>
    <w:rsid w:val="00E46542"/>
    <w:rsid w:val="00E508E3"/>
    <w:rsid w:val="00E5093C"/>
    <w:rsid w:val="00E50983"/>
    <w:rsid w:val="00E51B1F"/>
    <w:rsid w:val="00E532C7"/>
    <w:rsid w:val="00E54E86"/>
    <w:rsid w:val="00E54F09"/>
    <w:rsid w:val="00E54F6F"/>
    <w:rsid w:val="00E5538C"/>
    <w:rsid w:val="00E55F04"/>
    <w:rsid w:val="00E56258"/>
    <w:rsid w:val="00E601E4"/>
    <w:rsid w:val="00E60723"/>
    <w:rsid w:val="00E61427"/>
    <w:rsid w:val="00E62521"/>
    <w:rsid w:val="00E637E6"/>
    <w:rsid w:val="00E63C9C"/>
    <w:rsid w:val="00E63DEB"/>
    <w:rsid w:val="00E6408C"/>
    <w:rsid w:val="00E64BDE"/>
    <w:rsid w:val="00E667F5"/>
    <w:rsid w:val="00E675E5"/>
    <w:rsid w:val="00E67B51"/>
    <w:rsid w:val="00E70C9E"/>
    <w:rsid w:val="00E71481"/>
    <w:rsid w:val="00E7279F"/>
    <w:rsid w:val="00E736B1"/>
    <w:rsid w:val="00E74803"/>
    <w:rsid w:val="00E74C42"/>
    <w:rsid w:val="00E75332"/>
    <w:rsid w:val="00E7624D"/>
    <w:rsid w:val="00E8001E"/>
    <w:rsid w:val="00E808D0"/>
    <w:rsid w:val="00E80A7D"/>
    <w:rsid w:val="00E8251D"/>
    <w:rsid w:val="00E8490D"/>
    <w:rsid w:val="00E85B1B"/>
    <w:rsid w:val="00E86EA2"/>
    <w:rsid w:val="00E87E37"/>
    <w:rsid w:val="00E90138"/>
    <w:rsid w:val="00E92CFD"/>
    <w:rsid w:val="00E933DC"/>
    <w:rsid w:val="00E94CA0"/>
    <w:rsid w:val="00E9744A"/>
    <w:rsid w:val="00E974CF"/>
    <w:rsid w:val="00E97AE2"/>
    <w:rsid w:val="00EA169B"/>
    <w:rsid w:val="00EA26A1"/>
    <w:rsid w:val="00EA4711"/>
    <w:rsid w:val="00EA538F"/>
    <w:rsid w:val="00EA5938"/>
    <w:rsid w:val="00EA5A39"/>
    <w:rsid w:val="00EA5B35"/>
    <w:rsid w:val="00EA5BCF"/>
    <w:rsid w:val="00EA5E9F"/>
    <w:rsid w:val="00EA6A83"/>
    <w:rsid w:val="00EA7E15"/>
    <w:rsid w:val="00EB1612"/>
    <w:rsid w:val="00EB1B35"/>
    <w:rsid w:val="00EB492A"/>
    <w:rsid w:val="00EB52C5"/>
    <w:rsid w:val="00EB5843"/>
    <w:rsid w:val="00EB5DE7"/>
    <w:rsid w:val="00EB5E79"/>
    <w:rsid w:val="00EB6589"/>
    <w:rsid w:val="00EB761E"/>
    <w:rsid w:val="00EB7C1E"/>
    <w:rsid w:val="00EC1BCB"/>
    <w:rsid w:val="00EC1F33"/>
    <w:rsid w:val="00EC2021"/>
    <w:rsid w:val="00EC2701"/>
    <w:rsid w:val="00EC37D2"/>
    <w:rsid w:val="00EC4D59"/>
    <w:rsid w:val="00EC53F2"/>
    <w:rsid w:val="00EC55C4"/>
    <w:rsid w:val="00EC5795"/>
    <w:rsid w:val="00ED0571"/>
    <w:rsid w:val="00ED094A"/>
    <w:rsid w:val="00ED205C"/>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72F8"/>
    <w:rsid w:val="00EF7C44"/>
    <w:rsid w:val="00EF7CD4"/>
    <w:rsid w:val="00F01695"/>
    <w:rsid w:val="00F040C8"/>
    <w:rsid w:val="00F058C4"/>
    <w:rsid w:val="00F059D2"/>
    <w:rsid w:val="00F05BA8"/>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59B1"/>
    <w:rsid w:val="00F368EA"/>
    <w:rsid w:val="00F378C2"/>
    <w:rsid w:val="00F37BB4"/>
    <w:rsid w:val="00F42930"/>
    <w:rsid w:val="00F42B5D"/>
    <w:rsid w:val="00F42F9E"/>
    <w:rsid w:val="00F437A5"/>
    <w:rsid w:val="00F43DB2"/>
    <w:rsid w:val="00F45A36"/>
    <w:rsid w:val="00F4639C"/>
    <w:rsid w:val="00F47CE2"/>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439"/>
    <w:rsid w:val="00F73A36"/>
    <w:rsid w:val="00F74216"/>
    <w:rsid w:val="00F74453"/>
    <w:rsid w:val="00F76095"/>
    <w:rsid w:val="00F769E0"/>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9CA"/>
    <w:rsid w:val="00FA0EBD"/>
    <w:rsid w:val="00FA13ED"/>
    <w:rsid w:val="00FA1A7B"/>
    <w:rsid w:val="00FA1DD2"/>
    <w:rsid w:val="00FA4546"/>
    <w:rsid w:val="00FA504E"/>
    <w:rsid w:val="00FA5150"/>
    <w:rsid w:val="00FB2E1D"/>
    <w:rsid w:val="00FB365C"/>
    <w:rsid w:val="00FB4843"/>
    <w:rsid w:val="00FB5B4E"/>
    <w:rsid w:val="00FB5F3F"/>
    <w:rsid w:val="00FB6D7A"/>
    <w:rsid w:val="00FB7313"/>
    <w:rsid w:val="00FC0A85"/>
    <w:rsid w:val="00FC1063"/>
    <w:rsid w:val="00FC1AD5"/>
    <w:rsid w:val="00FC1D6F"/>
    <w:rsid w:val="00FC2E6C"/>
    <w:rsid w:val="00FC2FA1"/>
    <w:rsid w:val="00FC2FF6"/>
    <w:rsid w:val="00FC3171"/>
    <w:rsid w:val="00FC57AE"/>
    <w:rsid w:val="00FC5D27"/>
    <w:rsid w:val="00FC5E32"/>
    <w:rsid w:val="00FC60B4"/>
    <w:rsid w:val="00FC7502"/>
    <w:rsid w:val="00FD152A"/>
    <w:rsid w:val="00FD1851"/>
    <w:rsid w:val="00FD1D35"/>
    <w:rsid w:val="00FD3615"/>
    <w:rsid w:val="00FD3F0E"/>
    <w:rsid w:val="00FD4EB6"/>
    <w:rsid w:val="00FD564D"/>
    <w:rsid w:val="00FD571E"/>
    <w:rsid w:val="00FD6AB7"/>
    <w:rsid w:val="00FD6C2B"/>
    <w:rsid w:val="00FD712F"/>
    <w:rsid w:val="00FD76B5"/>
    <w:rsid w:val="00FD7D6D"/>
    <w:rsid w:val="00FE16B3"/>
    <w:rsid w:val="00FE369E"/>
    <w:rsid w:val="00FE3EE5"/>
    <w:rsid w:val="00FE4404"/>
    <w:rsid w:val="00FE4C68"/>
    <w:rsid w:val="00FE5BEC"/>
    <w:rsid w:val="00FE6B74"/>
    <w:rsid w:val="00FE6BD4"/>
    <w:rsid w:val="00FE74AD"/>
    <w:rsid w:val="00FE772F"/>
    <w:rsid w:val="00FE77E0"/>
    <w:rsid w:val="00FE79FA"/>
    <w:rsid w:val="00FE7EFC"/>
    <w:rsid w:val="00FF15D2"/>
    <w:rsid w:val="00FF19D9"/>
    <w:rsid w:val="00FF48F5"/>
    <w:rsid w:val="00FF539D"/>
    <w:rsid w:val="00FF5443"/>
    <w:rsid w:val="00FF5CF5"/>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0705A3-33AE-48C6-9A3A-48BCBF55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
    <w:link w:val="ListParagraph"/>
    <w:uiPriority w:val="34"/>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1843623163">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58554659">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sChild>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 w:id="1221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942032327">
          <w:marLeft w:val="0"/>
          <w:marRight w:val="0"/>
          <w:marTop w:val="0"/>
          <w:marBottom w:val="0"/>
          <w:divBdr>
            <w:top w:val="none" w:sz="0" w:space="0" w:color="auto"/>
            <w:left w:val="none" w:sz="0" w:space="0" w:color="auto"/>
            <w:bottom w:val="none" w:sz="0" w:space="0" w:color="auto"/>
            <w:right w:val="none" w:sz="0" w:space="0" w:color="auto"/>
          </w:divBdr>
        </w:div>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937061378">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2435366">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317729565">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5333317">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449399322">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157311528">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83"/>
          <w:marTop w:val="0"/>
          <w:marBottom w:val="0"/>
          <w:divBdr>
            <w:top w:val="none" w:sz="0" w:space="0" w:color="auto"/>
            <w:left w:val="none" w:sz="0" w:space="0" w:color="auto"/>
            <w:bottom w:val="none" w:sz="0" w:space="0" w:color="auto"/>
            <w:right w:val="none" w:sz="0" w:space="0" w:color="auto"/>
          </w:divBdr>
        </w:div>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70548660">
                  <w:marLeft w:val="0"/>
                  <w:marRight w:val="0"/>
                  <w:marTop w:val="0"/>
                  <w:marBottom w:val="0"/>
                  <w:divBdr>
                    <w:top w:val="none" w:sz="0" w:space="0" w:color="auto"/>
                    <w:left w:val="none" w:sz="0" w:space="0" w:color="auto"/>
                    <w:bottom w:val="none" w:sz="0" w:space="0" w:color="auto"/>
                    <w:right w:val="none" w:sz="0" w:space="0" w:color="auto"/>
                  </w:divBdr>
                  <w:divsChild>
                    <w:div w:id="1028918427">
                      <w:marLeft w:val="0"/>
                      <w:marRight w:val="0"/>
                      <w:marTop w:val="0"/>
                      <w:marBottom w:val="0"/>
                      <w:divBdr>
                        <w:top w:val="none" w:sz="0" w:space="0" w:color="auto"/>
                        <w:left w:val="none" w:sz="0" w:space="0" w:color="auto"/>
                        <w:bottom w:val="none" w:sz="0" w:space="0" w:color="auto"/>
                        <w:right w:val="none" w:sz="0" w:space="0" w:color="auto"/>
                      </w:divBdr>
                    </w:div>
                    <w:div w:id="384456507">
                      <w:marLeft w:val="0"/>
                      <w:marRight w:val="0"/>
                      <w:marTop w:val="0"/>
                      <w:marBottom w:val="0"/>
                      <w:divBdr>
                        <w:top w:val="none" w:sz="0" w:space="0" w:color="auto"/>
                        <w:left w:val="none" w:sz="0" w:space="0" w:color="auto"/>
                        <w:bottom w:val="none" w:sz="0" w:space="0" w:color="auto"/>
                        <w:right w:val="none" w:sz="0" w:space="0" w:color="auto"/>
                      </w:divBdr>
                    </w:div>
                  </w:divsChild>
                </w:div>
                <w:div w:id="2690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147789651">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47464650">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450979554">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30811187">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734280448">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535088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2027704512">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84560430">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879319389">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101926158">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648048802">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14236478">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185272286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5259313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1124689945">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 w:id="310058828">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956763086">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 w:id="146020952">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949119219">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 w:id="55864487">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2062946786">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92287336">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203256245">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458814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1510480687">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20208135">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1580868942">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83109269">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1609042464">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92821528">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1482769640">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788308">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2068524794">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152528800">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166091187">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1705283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315762454">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14253285">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815609499">
          <w:marLeft w:val="0"/>
          <w:marRight w:val="0"/>
          <w:marTop w:val="0"/>
          <w:marBottom w:val="0"/>
          <w:divBdr>
            <w:top w:val="none" w:sz="0" w:space="0" w:color="auto"/>
            <w:left w:val="none" w:sz="0" w:space="0" w:color="auto"/>
            <w:bottom w:val="none" w:sz="0" w:space="0" w:color="auto"/>
            <w:right w:val="none" w:sz="0" w:space="0" w:color="auto"/>
          </w:divBdr>
        </w:div>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1718314423">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 w:id="657459696">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992413654">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799735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48727737">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3174887">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653368994">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197861606">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sChild>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1540163874">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 w:id="506988560">
          <w:marLeft w:val="0"/>
          <w:marRight w:val="0"/>
          <w:marTop w:val="0"/>
          <w:marBottom w:val="0"/>
          <w:divBdr>
            <w:top w:val="none" w:sz="0" w:space="0" w:color="auto"/>
            <w:left w:val="none" w:sz="0" w:space="0" w:color="auto"/>
            <w:bottom w:val="none" w:sz="0" w:space="0" w:color="auto"/>
            <w:right w:val="none" w:sz="0" w:space="0" w:color="auto"/>
          </w:divBdr>
        </w:div>
      </w:divsChild>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75190489">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128957991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7274725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1704862743">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4090788">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sChild>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eader" Target="header1.xml"/><Relationship Id="rId21" Type="http://schemas.openxmlformats.org/officeDocument/2006/relationships/chart" Target="charts/chart10.xml"/><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ulletin@sebi.gov.in" TargetMode="External"/><Relationship Id="rId24" Type="http://schemas.openxmlformats.org/officeDocument/2006/relationships/chart" Target="charts/chart13.xml"/><Relationship Id="rId32" Type="http://schemas.openxmlformats.org/officeDocument/2006/relationships/image" Target="media/image4.png"/><Relationship Id="rId37" Type="http://schemas.openxmlformats.org/officeDocument/2006/relationships/hyperlink" Target="https://www.sebi.gov.in/enforcement/orders/nov-2020/order-in-the-matter-of-new-delhi-television-limited-mr-prannoy-roy-and-mrs-radhika-roy_48314.html" TargetMode="External"/><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s://www.sebi.gov.in/enforcement/orders/nov-2020/order-in-the-matter-of-new-delhi-television-limited-mr-prannoy-roy-and-mrs-radhika-roy_48314.html" TargetMode="External"/><Relationship Id="rId10" Type="http://schemas.openxmlformats.org/officeDocument/2006/relationships/hyperlink" Target="http://www.sebi.gov.in" TargetMode="External"/><Relationship Id="rId19" Type="http://schemas.openxmlformats.org/officeDocument/2006/relationships/chart" Target="charts/chart8.xm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2.png"/><Relationship Id="rId35" Type="http://schemas.openxmlformats.org/officeDocument/2006/relationships/hyperlink" Target="https://www.iosco.org/news/pdf/IOSCONEWS583.pdf"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5.png"/><Relationship Id="rId38" Type="http://schemas.openxmlformats.org/officeDocument/2006/relationships/hyperlink" Target="https://www.sebi.gov.in/enforcement/orders/nov-2020/order-in-the-matter-of-new-delhi-television-limited-mr-prannoy-roy-and-mrs-radhika-roy_48314.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esktop_C\DEPA%20I\Publications\Bulletin\Bulletin%20CMR\December%202020\SEBI%20Bulletin%20December%202020%20Issue%20Template%20Shyni%2009122020%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D:\Desktop_C\DEPA%20I\Publications\Bulletin\Bulletin%20CMR\December%202020\SEBI%20Bulletin%20December%202020%20Issue%20Template%20Shyni%2009122020%20(Autosaved).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D:\Desktop_C\DEPA%20I\Publications\Bulletin\Bulletin%20CMR\January%202021\SEBI%20Bulletin%20January%202021%20Issue%20Template.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Desktop_C\DEPA%20I\Publications\Bulletin\Bulletin%20CMR\December%202020\SEBI%20Bulletin%20December%202020%20Issue%20Template%20Shyni%2009122020%20(Autosaved).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D:\Desktop_C\DEPA%20I\Publications\Bulletin\Bulletin%20CMR\December%202020\SEBI%20Bulletin%20December%202020%20Issue%20Template%20Shyni%2009122020%20(Autosaved).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2201\Desktop\Month-wise%20Bulletin\Bulletin%20Jan.2020%20to%20Dec.%202020\Nov.%202020\Graphs%20%20data%20for%20bulletin%20Nov.%20%20202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2201\Desktop\Month-wise%20Bulletin\Bulletin%20Jan.2020%20to%20Dec.%202020\Nov.%202020\Graphs%20%20data%20for%20bulletin%20Nov.%20%20202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2201\Desktop\Month-wise%20Bulletin\Bulletin%20Jan.2020%20to%20Dec.%202020\Nov.%202020\Graphs%20%20data%20for%20bulletin%20Nov.%20%202020.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2201\Desktop\Month-wise%20Bulletin\Bulletin%20Jan.2020%20to%20Dec.%202020\Nov.%202020\Graphs%20%20data%20for%20bulletin%20Nov.%20%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Desktop_C\DEPA%20I\Publications\Bulletin\Bulletin%20CMR\December%202020\SEBI%20Bulletin%20December%202020%20Issue%20Template%20Shyni%2009122020%20(Autosaved).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_C\DEPA%20I\Publications\Bulletin\Bulletin%20CMR\December%202020\SEBI%20Bulletin%20December%202020%20Issue%20Template%20Shyni%2009122020%20(Autosaved).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Desktop_C\DEPA%20I\Publications\Bulletin\Bulletin%20CMR\December%202020\SEBI%20Bulletin%20December%202020%20Issue%20Template%20Shyni%2009122020%20(Autosave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Desktop_C\DEPA%20I\Publications\Bulletin\Bulletin%20CMR\December%202020\SEBI%20Bulletin%20December%202020%20Issue%20Template%20Shyni%2009122020%20(Autosaved).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Desktop_C\DEPA%20I\Publications\Bulletin\Bulletin%20CMR\December%202020\SEBI%20Bulletin%20December%202020%20Issue%20Template%20Shyni%2009122020%20(Autosaved).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D:\Desktop_C\DEPA%20I\Publications\Bulletin\Bulletin%20CMR\December%202020\SEBI%20Bulletin%20December%202020%20Issue%20Template%20Shyni%2009122020%20(Autosaved).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Desktop_C\DEPA%20I\Publications\Bulletin\Bulletin%20CMR\December%202020\SEBI%20Bulletin%20December%202020%20Issue%20Template%20Shyni%2009122020%20(Autosaved).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Desktop_C\DEPA%20I\Publications\Bulletin\Bulletin%20CMR\December%202020\SEBI%20Bulletin%20December%202020%20Issue%20Template%20Shyni%2009122020%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9530081544334"/>
          <c:y val="7.522588948565799E-2"/>
          <c:w val="0.83627206021707667"/>
          <c:h val="0.58040104986876628"/>
        </c:manualLayout>
      </c:layout>
      <c:lineChart>
        <c:grouping val="standard"/>
        <c:varyColors val="0"/>
        <c:ser>
          <c:idx val="0"/>
          <c:order val="0"/>
          <c:tx>
            <c:strRef>
              <c:f>'F1'!$D$3</c:f>
              <c:strCache>
                <c:ptCount val="1"/>
                <c:pt idx="0">
                  <c:v>Nifty 50 (%)</c:v>
                </c:pt>
              </c:strCache>
            </c:strRef>
          </c:tx>
          <c:spPr>
            <a:ln w="28575" cap="rnd">
              <a:solidFill>
                <a:schemeClr val="accent1"/>
              </a:solidFill>
              <a:round/>
            </a:ln>
            <a:effectLst/>
          </c:spPr>
          <c:marker>
            <c:symbol val="none"/>
          </c:marker>
          <c:cat>
            <c:numRef>
              <c:f>'F1'!$A$4:$A$26</c:f>
              <c:numCache>
                <c:formatCode>d\-mmm\-yy</c:formatCode>
                <c:ptCount val="23"/>
                <c:pt idx="0">
                  <c:v>44137</c:v>
                </c:pt>
                <c:pt idx="1">
                  <c:v>44138</c:v>
                </c:pt>
                <c:pt idx="2">
                  <c:v>44139</c:v>
                </c:pt>
                <c:pt idx="3">
                  <c:v>44140</c:v>
                </c:pt>
                <c:pt idx="4">
                  <c:v>44141</c:v>
                </c:pt>
                <c:pt idx="5">
                  <c:v>44144</c:v>
                </c:pt>
                <c:pt idx="6">
                  <c:v>44145</c:v>
                </c:pt>
                <c:pt idx="7">
                  <c:v>44146</c:v>
                </c:pt>
                <c:pt idx="8">
                  <c:v>44147</c:v>
                </c:pt>
                <c:pt idx="9">
                  <c:v>44148</c:v>
                </c:pt>
                <c:pt idx="10">
                  <c:v>44149</c:v>
                </c:pt>
                <c:pt idx="11">
                  <c:v>44152</c:v>
                </c:pt>
                <c:pt idx="12">
                  <c:v>44153</c:v>
                </c:pt>
                <c:pt idx="13">
                  <c:v>44154</c:v>
                </c:pt>
                <c:pt idx="14">
                  <c:v>44155</c:v>
                </c:pt>
                <c:pt idx="15">
                  <c:v>44158</c:v>
                </c:pt>
                <c:pt idx="16">
                  <c:v>44159</c:v>
                </c:pt>
                <c:pt idx="17">
                  <c:v>44160</c:v>
                </c:pt>
                <c:pt idx="18">
                  <c:v>44161</c:v>
                </c:pt>
                <c:pt idx="19">
                  <c:v>44162</c:v>
                </c:pt>
              </c:numCache>
            </c:numRef>
          </c:cat>
          <c:val>
            <c:numRef>
              <c:f>'F1'!$D$4:$D$26</c:f>
              <c:numCache>
                <c:formatCode>0.0</c:formatCode>
                <c:ptCount val="23"/>
                <c:pt idx="0">
                  <c:v>100</c:v>
                </c:pt>
                <c:pt idx="1">
                  <c:v>101.23702240523089</c:v>
                </c:pt>
                <c:pt idx="2">
                  <c:v>102.05113482987193</c:v>
                </c:pt>
                <c:pt idx="3">
                  <c:v>103.86617705659796</c:v>
                </c:pt>
                <c:pt idx="4">
                  <c:v>105.09377289691194</c:v>
                </c:pt>
                <c:pt idx="5">
                  <c:v>106.78626977971831</c:v>
                </c:pt>
                <c:pt idx="6">
                  <c:v>108.2435310198258</c:v>
                </c:pt>
                <c:pt idx="7">
                  <c:v>109.25517282749816</c:v>
                </c:pt>
                <c:pt idx="8">
                  <c:v>108.75513640667916</c:v>
                </c:pt>
                <c:pt idx="9">
                  <c:v>109.00494037697692</c:v>
                </c:pt>
                <c:pt idx="10">
                  <c:v>109.52168752651224</c:v>
                </c:pt>
                <c:pt idx="11">
                  <c:v>110.3268018664599</c:v>
                </c:pt>
                <c:pt idx="12">
                  <c:v>110.87568503275736</c:v>
                </c:pt>
                <c:pt idx="13">
                  <c:v>109.44841740829457</c:v>
                </c:pt>
                <c:pt idx="14">
                  <c:v>110.19697235874084</c:v>
                </c:pt>
                <c:pt idx="15">
                  <c:v>110.77456370001249</c:v>
                </c:pt>
                <c:pt idx="16">
                  <c:v>111.87747179528934</c:v>
                </c:pt>
                <c:pt idx="17">
                  <c:v>110.19140211583539</c:v>
                </c:pt>
                <c:pt idx="18">
                  <c:v>111.29345325066525</c:v>
                </c:pt>
                <c:pt idx="19">
                  <c:v>111.13877188998346</c:v>
                </c:pt>
              </c:numCache>
            </c:numRef>
          </c:val>
          <c:smooth val="0"/>
          <c:extLst>
            <c:ext xmlns:c16="http://schemas.microsoft.com/office/drawing/2014/chart" uri="{C3380CC4-5D6E-409C-BE32-E72D297353CC}">
              <c16:uniqueId val="{00000000-3D59-4F8C-BADE-D943769B519A}"/>
            </c:ext>
          </c:extLst>
        </c:ser>
        <c:ser>
          <c:idx val="1"/>
          <c:order val="1"/>
          <c:tx>
            <c:strRef>
              <c:f>'F1'!$E$3</c:f>
              <c:strCache>
                <c:ptCount val="1"/>
                <c:pt idx="0">
                  <c:v>S&amp;P BSE Sensex (%)</c:v>
                </c:pt>
              </c:strCache>
            </c:strRef>
          </c:tx>
          <c:spPr>
            <a:ln w="28575" cap="rnd">
              <a:solidFill>
                <a:schemeClr val="accent2"/>
              </a:solidFill>
              <a:round/>
            </a:ln>
            <a:effectLst/>
          </c:spPr>
          <c:marker>
            <c:symbol val="none"/>
          </c:marker>
          <c:cat>
            <c:numRef>
              <c:f>'F1'!$A$4:$A$26</c:f>
              <c:numCache>
                <c:formatCode>d\-mmm\-yy</c:formatCode>
                <c:ptCount val="23"/>
                <c:pt idx="0">
                  <c:v>44137</c:v>
                </c:pt>
                <c:pt idx="1">
                  <c:v>44138</c:v>
                </c:pt>
                <c:pt idx="2">
                  <c:v>44139</c:v>
                </c:pt>
                <c:pt idx="3">
                  <c:v>44140</c:v>
                </c:pt>
                <c:pt idx="4">
                  <c:v>44141</c:v>
                </c:pt>
                <c:pt idx="5">
                  <c:v>44144</c:v>
                </c:pt>
                <c:pt idx="6">
                  <c:v>44145</c:v>
                </c:pt>
                <c:pt idx="7">
                  <c:v>44146</c:v>
                </c:pt>
                <c:pt idx="8">
                  <c:v>44147</c:v>
                </c:pt>
                <c:pt idx="9">
                  <c:v>44148</c:v>
                </c:pt>
                <c:pt idx="10">
                  <c:v>44149</c:v>
                </c:pt>
                <c:pt idx="11">
                  <c:v>44152</c:v>
                </c:pt>
                <c:pt idx="12">
                  <c:v>44153</c:v>
                </c:pt>
                <c:pt idx="13">
                  <c:v>44154</c:v>
                </c:pt>
                <c:pt idx="14">
                  <c:v>44155</c:v>
                </c:pt>
                <c:pt idx="15">
                  <c:v>44158</c:v>
                </c:pt>
                <c:pt idx="16">
                  <c:v>44159</c:v>
                </c:pt>
                <c:pt idx="17">
                  <c:v>44160</c:v>
                </c:pt>
                <c:pt idx="18">
                  <c:v>44161</c:v>
                </c:pt>
                <c:pt idx="19">
                  <c:v>44162</c:v>
                </c:pt>
              </c:numCache>
            </c:numRef>
          </c:cat>
          <c:val>
            <c:numRef>
              <c:f>'F1'!$E$4:$E$26</c:f>
              <c:numCache>
                <c:formatCode>0.0</c:formatCode>
                <c:ptCount val="23"/>
                <c:pt idx="0" formatCode="0">
                  <c:v>100</c:v>
                </c:pt>
                <c:pt idx="1">
                  <c:v>101.26655093192292</c:v>
                </c:pt>
                <c:pt idx="2">
                  <c:v>102.15948757444492</c:v>
                </c:pt>
                <c:pt idx="3">
                  <c:v>103.98057427036557</c:v>
                </c:pt>
                <c:pt idx="4">
                  <c:v>105.37125247562855</c:v>
                </c:pt>
                <c:pt idx="5">
                  <c:v>107.14291463414021</c:v>
                </c:pt>
                <c:pt idx="6">
                  <c:v>108.85383365888971</c:v>
                </c:pt>
                <c:pt idx="7">
                  <c:v>109.64870095212032</c:v>
                </c:pt>
                <c:pt idx="8">
                  <c:v>109.05389613754159</c:v>
                </c:pt>
                <c:pt idx="9">
                  <c:v>109.2697291937789</c:v>
                </c:pt>
                <c:pt idx="10">
                  <c:v>109.76015139754483</c:v>
                </c:pt>
                <c:pt idx="11">
                  <c:v>110.55177402648754</c:v>
                </c:pt>
                <c:pt idx="12">
                  <c:v>111.12358951425115</c:v>
                </c:pt>
                <c:pt idx="13">
                  <c:v>109.66452183457849</c:v>
                </c:pt>
                <c:pt idx="14">
                  <c:v>110.37454996003281</c:v>
                </c:pt>
                <c:pt idx="15">
                  <c:v>110.86477094430802</c:v>
                </c:pt>
                <c:pt idx="16">
                  <c:v>111.98624262341927</c:v>
                </c:pt>
                <c:pt idx="17">
                  <c:v>110.23834951724933</c:v>
                </c:pt>
                <c:pt idx="18">
                  <c:v>111.32402927944813</c:v>
                </c:pt>
                <c:pt idx="19">
                  <c:v>111.04730217483061</c:v>
                </c:pt>
              </c:numCache>
            </c:numRef>
          </c:val>
          <c:smooth val="0"/>
          <c:extLst>
            <c:ext xmlns:c16="http://schemas.microsoft.com/office/drawing/2014/chart" uri="{C3380CC4-5D6E-409C-BE32-E72D297353CC}">
              <c16:uniqueId val="{00000001-3D59-4F8C-BADE-D943769B519A}"/>
            </c:ext>
          </c:extLst>
        </c:ser>
        <c:dLbls>
          <c:showLegendKey val="0"/>
          <c:showVal val="0"/>
          <c:showCatName val="0"/>
          <c:showSerName val="0"/>
          <c:showPercent val="0"/>
          <c:showBubbleSize val="0"/>
        </c:dLbls>
        <c:smooth val="0"/>
        <c:axId val="482369728"/>
        <c:axId val="482366200"/>
      </c:lineChart>
      <c:dateAx>
        <c:axId val="482369728"/>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82366200"/>
        <c:crosses val="autoZero"/>
        <c:auto val="1"/>
        <c:lblOffset val="100"/>
        <c:baseTimeUnit val="days"/>
        <c:majorUnit val="2"/>
        <c:majorTimeUnit val="days"/>
      </c:dateAx>
      <c:valAx>
        <c:axId val="482366200"/>
        <c:scaling>
          <c:orientation val="minMax"/>
          <c:min val="98"/>
        </c:scaling>
        <c:delete val="0"/>
        <c:axPos val="l"/>
        <c:majorGridlines>
          <c:spPr>
            <a:ln w="9525" cap="flat" cmpd="sng" algn="ctr">
              <a:solidFill>
                <a:schemeClr val="tx2">
                  <a:lumMod val="60000"/>
                  <a:lumOff val="4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82369728"/>
        <c:crosses val="autoZero"/>
        <c:crossBetween val="between"/>
        <c:majorUnit val="2"/>
      </c:valAx>
      <c:spPr>
        <a:noFill/>
        <a:ln>
          <a:noFill/>
        </a:ln>
        <a:effectLst>
          <a:softEdge rad="31750"/>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bg1">
          <a:lumMod val="50000"/>
        </a:schemeClr>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001914253641821E-2"/>
          <c:y val="0.16281381169766232"/>
          <c:w val="0.93251912442983453"/>
          <c:h val="0.53971621567608619"/>
        </c:manualLayout>
      </c:layout>
      <c:barChart>
        <c:barDir val="col"/>
        <c:grouping val="clustered"/>
        <c:varyColors val="0"/>
        <c:ser>
          <c:idx val="0"/>
          <c:order val="0"/>
          <c:tx>
            <c:strRef>
              <c:f>'F10'!$B$2</c:f>
              <c:strCache>
                <c:ptCount val="1"/>
                <c:pt idx="0">
                  <c:v>BSE</c:v>
                </c:pt>
              </c:strCache>
            </c:strRef>
          </c:tx>
          <c:spPr>
            <a:solidFill>
              <a:srgbClr val="00B050"/>
            </a:solidFill>
            <a:ln>
              <a:solidFill>
                <a:schemeClr val="accent3">
                  <a:lumMod val="75000"/>
                </a:schemeClr>
              </a:solidFill>
            </a:ln>
          </c:spPr>
          <c:invertIfNegative val="0"/>
          <c:dLbls>
            <c:spPr>
              <a:noFill/>
              <a:ln>
                <a:noFill/>
              </a:ln>
              <a:effectLst/>
            </c:spPr>
            <c:txPr>
              <a:bodyPr rot="-5400000" vert="horz" anchor="ctr" anchorCtr="0"/>
              <a:lstStyle/>
              <a:p>
                <a:pPr>
                  <a:defRPr lang="en-IN" sz="900" b="0">
                    <a:latin typeface="Palatino Linotype" panose="0204050205050503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'F10'!$A$11:$A$22</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'F10'!$B$11:$B$22</c:f>
              <c:numCache>
                <c:formatCode>_(* #,##0_);_(* \(#,##0\);_(* "-"??_);_(@_)</c:formatCode>
                <c:ptCount val="12"/>
                <c:pt idx="0">
                  <c:v>52392.3</c:v>
                </c:pt>
                <c:pt idx="1">
                  <c:v>62925.43</c:v>
                </c:pt>
                <c:pt idx="2">
                  <c:v>63973.440000000002</c:v>
                </c:pt>
                <c:pt idx="3">
                  <c:v>82283.460000000006</c:v>
                </c:pt>
                <c:pt idx="4">
                  <c:v>65285.07</c:v>
                </c:pt>
                <c:pt idx="5">
                  <c:v>64964.767999999996</c:v>
                </c:pt>
                <c:pt idx="6">
                  <c:v>76987.050000000017</c:v>
                </c:pt>
                <c:pt idx="7">
                  <c:v>80074.63</c:v>
                </c:pt>
                <c:pt idx="8">
                  <c:v>53915.519999999997</c:v>
                </c:pt>
                <c:pt idx="9">
                  <c:v>50693.919999999998</c:v>
                </c:pt>
                <c:pt idx="10">
                  <c:v>42448.36</c:v>
                </c:pt>
                <c:pt idx="11">
                  <c:v>35255.333224302012</c:v>
                </c:pt>
              </c:numCache>
            </c:numRef>
          </c:val>
          <c:extLst>
            <c:ext xmlns:c16="http://schemas.microsoft.com/office/drawing/2014/chart" uri="{C3380CC4-5D6E-409C-BE32-E72D297353CC}">
              <c16:uniqueId val="{00000000-217B-42A5-9490-4C6E1F58EF39}"/>
            </c:ext>
          </c:extLst>
        </c:ser>
        <c:ser>
          <c:idx val="1"/>
          <c:order val="1"/>
          <c:tx>
            <c:strRef>
              <c:f>'F10'!$C$2</c:f>
              <c:strCache>
                <c:ptCount val="1"/>
                <c:pt idx="0">
                  <c:v>NSE</c:v>
                </c:pt>
              </c:strCache>
            </c:strRef>
          </c:tx>
          <c:spPr>
            <a:solidFill>
              <a:srgbClr val="FF0000"/>
            </a:solidFill>
          </c:spPr>
          <c:invertIfNegative val="0"/>
          <c:dLbls>
            <c:spPr>
              <a:noFill/>
              <a:ln>
                <a:noFill/>
              </a:ln>
              <a:effectLst/>
            </c:spPr>
            <c:txPr>
              <a:bodyPr rot="-5400000" vert="horz"/>
              <a:lstStyle/>
              <a:p>
                <a:pPr>
                  <a:defRPr lang="en-IN" sz="900" b="0">
                    <a:latin typeface="Palatino Linotype" panose="0204050205050503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'F10'!$A$11:$A$22</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'F10'!$C$11:$C$22</c:f>
              <c:numCache>
                <c:formatCode>_(* #,##0_);_(* \(#,##0\);_(* "-"??_);_(@_)</c:formatCode>
                <c:ptCount val="12"/>
                <c:pt idx="0">
                  <c:v>97560.16</c:v>
                </c:pt>
                <c:pt idx="1">
                  <c:v>134635.69</c:v>
                </c:pt>
                <c:pt idx="2">
                  <c:v>119569.31</c:v>
                </c:pt>
                <c:pt idx="3">
                  <c:v>149081.53</c:v>
                </c:pt>
                <c:pt idx="4">
                  <c:v>149229.69</c:v>
                </c:pt>
                <c:pt idx="5">
                  <c:v>131841.63199999998</c:v>
                </c:pt>
                <c:pt idx="6">
                  <c:v>130256.79</c:v>
                </c:pt>
                <c:pt idx="7">
                  <c:v>121730.01</c:v>
                </c:pt>
                <c:pt idx="8">
                  <c:v>89136.44</c:v>
                </c:pt>
                <c:pt idx="9">
                  <c:v>90782.64</c:v>
                </c:pt>
                <c:pt idx="10">
                  <c:v>88404.000000000015</c:v>
                </c:pt>
                <c:pt idx="11">
                  <c:v>79665.3</c:v>
                </c:pt>
              </c:numCache>
            </c:numRef>
          </c:val>
          <c:extLst>
            <c:ext xmlns:c16="http://schemas.microsoft.com/office/drawing/2014/chart" uri="{C3380CC4-5D6E-409C-BE32-E72D297353CC}">
              <c16:uniqueId val="{00000001-217B-42A5-9490-4C6E1F58EF39}"/>
            </c:ext>
          </c:extLst>
        </c:ser>
        <c:dLbls>
          <c:showLegendKey val="0"/>
          <c:showVal val="0"/>
          <c:showCatName val="0"/>
          <c:showSerName val="0"/>
          <c:showPercent val="0"/>
          <c:showBubbleSize val="0"/>
        </c:dLbls>
        <c:gapWidth val="150"/>
        <c:axId val="945326616"/>
        <c:axId val="945324656"/>
      </c:barChart>
      <c:dateAx>
        <c:axId val="945326616"/>
        <c:scaling>
          <c:orientation val="minMax"/>
        </c:scaling>
        <c:delete val="0"/>
        <c:axPos val="b"/>
        <c:numFmt formatCode="[$-409]mmm\-yy" sourceLinked="1"/>
        <c:majorTickMark val="none"/>
        <c:minorTickMark val="none"/>
        <c:tickLblPos val="nextTo"/>
        <c:txPr>
          <a:bodyPr rot="-5400000" vert="horz"/>
          <a:lstStyle/>
          <a:p>
            <a:pPr>
              <a:defRPr lang="en-IN" sz="900" b="0" cap="none" baseline="0">
                <a:latin typeface="Palatino Linotype" panose="02040502050505030304" pitchFamily="18" charset="0"/>
              </a:defRPr>
            </a:pPr>
            <a:endParaRPr lang="en-US"/>
          </a:p>
        </c:txPr>
        <c:crossAx val="945324656"/>
        <c:crosses val="autoZero"/>
        <c:auto val="1"/>
        <c:lblOffset val="100"/>
        <c:baseTimeUnit val="months"/>
      </c:dateAx>
      <c:valAx>
        <c:axId val="945324656"/>
        <c:scaling>
          <c:orientation val="minMax"/>
        </c:scaling>
        <c:delete val="1"/>
        <c:axPos val="l"/>
        <c:title>
          <c:tx>
            <c:rich>
              <a:bodyPr/>
              <a:lstStyle/>
              <a:p>
                <a:pPr>
                  <a:defRPr/>
                </a:pPr>
                <a:r>
                  <a:rPr lang="en-GB" sz="900" b="0" i="0" baseline="0">
                    <a:effectLst/>
                  </a:rPr>
                  <a:t>₹</a:t>
                </a:r>
                <a:r>
                  <a:rPr lang="en-US" sz="900" b="0" i="0" baseline="0">
                    <a:effectLst/>
                  </a:rPr>
                  <a:t> crore</a:t>
                </a:r>
                <a:endParaRPr lang="en-IN" sz="900">
                  <a:effectLst/>
                </a:endParaRPr>
              </a:p>
            </c:rich>
          </c:tx>
          <c:layout>
            <c:manualLayout>
              <c:xMode val="edge"/>
              <c:yMode val="edge"/>
              <c:x val="1.1335754470799384E-2"/>
              <c:y val="0.49450035700928224"/>
            </c:manualLayout>
          </c:layout>
          <c:overlay val="0"/>
        </c:title>
        <c:numFmt formatCode="_(* #,##0_);_(* \(#,##0\);_(* &quot;-&quot;??_);_(@_)" sourceLinked="1"/>
        <c:majorTickMark val="out"/>
        <c:minorTickMark val="none"/>
        <c:tickLblPos val="none"/>
        <c:crossAx val="945326616"/>
        <c:crosses val="autoZero"/>
        <c:crossBetween val="between"/>
      </c:valAx>
    </c:plotArea>
    <c:legend>
      <c:legendPos val="b"/>
      <c:layout>
        <c:manualLayout>
          <c:xMode val="edge"/>
          <c:yMode val="edge"/>
          <c:x val="0.41481370554218189"/>
          <c:y val="0.9144460100382189"/>
          <c:w val="0.23932982707201275"/>
          <c:h val="6.8697515018857125E-2"/>
        </c:manualLayout>
      </c:layout>
      <c:overlay val="0"/>
      <c:spPr>
        <a:ln w="3175">
          <a:noFill/>
        </a:ln>
      </c:spPr>
      <c:txPr>
        <a:bodyPr/>
        <a:lstStyle/>
        <a:p>
          <a:pPr>
            <a:defRPr lang="en-IN"/>
          </a:pPr>
          <a:endParaRPr lang="en-US"/>
        </a:p>
      </c:txPr>
    </c:legend>
    <c:plotVisOnly val="1"/>
    <c:dispBlanksAs val="gap"/>
    <c:showDLblsOverMax val="0"/>
  </c:chart>
  <c:spPr>
    <a:ln w="3175">
      <a:solidFill>
        <a:schemeClr val="bg1">
          <a:lumMod val="50000"/>
        </a:schemeClr>
      </a:solidFill>
    </a:ln>
  </c:spPr>
  <c:txPr>
    <a:bodyPr/>
    <a:lstStyle/>
    <a:p>
      <a:pPr>
        <a:defRPr sz="900" b="1" i="0" baseline="0">
          <a:latin typeface="Garamond"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45221495188128"/>
          <c:y val="8.3213208096295871E-2"/>
          <c:w val="0.8669348154280625"/>
          <c:h val="0.63075264109688545"/>
        </c:manualLayout>
      </c:layout>
      <c:barChart>
        <c:barDir val="col"/>
        <c:grouping val="clustered"/>
        <c:varyColors val="0"/>
        <c:ser>
          <c:idx val="0"/>
          <c:order val="0"/>
          <c:tx>
            <c:strRef>
              <c:f>'F11'!$B$2</c:f>
              <c:strCache>
                <c:ptCount val="1"/>
                <c:pt idx="0">
                  <c:v>Equity</c:v>
                </c:pt>
              </c:strCache>
            </c:strRef>
          </c:tx>
          <c:spPr>
            <a:solidFill>
              <a:srgbClr val="FF0000"/>
            </a:solidFill>
          </c:spPr>
          <c:invertIfNegative val="0"/>
          <c:cat>
            <c:numRef>
              <c:f>'F11'!$A$11:$A$22</c:f>
              <c:numCache>
                <c:formatCode>[$-409]mmm\-yy</c:formatCode>
                <c:ptCount val="12"/>
                <c:pt idx="0">
                  <c:v>43800</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'F11'!$B$11:$B$22</c:f>
              <c:numCache>
                <c:formatCode>[&gt;9999999]##\,##\,##\,##0;[&gt;99999]##\,##\,##0;##,##0</c:formatCode>
                <c:ptCount val="12"/>
                <c:pt idx="0">
                  <c:v>1805.04</c:v>
                </c:pt>
                <c:pt idx="1">
                  <c:v>1384.38</c:v>
                </c:pt>
                <c:pt idx="2">
                  <c:v>9989.82</c:v>
                </c:pt>
                <c:pt idx="3">
                  <c:v>30285.64</c:v>
                </c:pt>
                <c:pt idx="4">
                  <c:v>-7965.5</c:v>
                </c:pt>
                <c:pt idx="5">
                  <c:v>6522.45</c:v>
                </c:pt>
                <c:pt idx="6">
                  <c:v>-501.5</c:v>
                </c:pt>
                <c:pt idx="7">
                  <c:v>-9195.0400000000009</c:v>
                </c:pt>
                <c:pt idx="8">
                  <c:v>-9213.44</c:v>
                </c:pt>
                <c:pt idx="9">
                  <c:v>-4134.37</c:v>
                </c:pt>
                <c:pt idx="10" formatCode="[&gt;9999999]##.0\,##\,##\,##0;[&gt;99999]##.0\,##\,##0;##,##0.0">
                  <c:v>-14491.79</c:v>
                </c:pt>
                <c:pt idx="11" formatCode="[&gt;9999999]##.0\,##\,##\,##0;[&gt;99999]##.0\,##\,##0;##,##0.0">
                  <c:v>-30760.07</c:v>
                </c:pt>
              </c:numCache>
            </c:numRef>
          </c:val>
          <c:extLst>
            <c:ext xmlns:c16="http://schemas.microsoft.com/office/drawing/2014/chart" uri="{C3380CC4-5D6E-409C-BE32-E72D297353CC}">
              <c16:uniqueId val="{00000000-F42A-42FD-BF4A-008EE7FA75F7}"/>
            </c:ext>
          </c:extLst>
        </c:ser>
        <c:ser>
          <c:idx val="1"/>
          <c:order val="1"/>
          <c:tx>
            <c:strRef>
              <c:f>'F11'!$C$2</c:f>
              <c:strCache>
                <c:ptCount val="1"/>
                <c:pt idx="0">
                  <c:v>Debt</c:v>
                </c:pt>
              </c:strCache>
            </c:strRef>
          </c:tx>
          <c:spPr>
            <a:solidFill>
              <a:srgbClr val="00B050"/>
            </a:solidFill>
          </c:spPr>
          <c:invertIfNegative val="0"/>
          <c:cat>
            <c:numRef>
              <c:f>'F11'!$A$11:$A$22</c:f>
              <c:numCache>
                <c:formatCode>[$-409]mmm\-yy</c:formatCode>
                <c:ptCount val="12"/>
                <c:pt idx="0">
                  <c:v>43800</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'F11'!$C$11:$C$22</c:f>
              <c:numCache>
                <c:formatCode>[&gt;9999999]##\,##\,##\,##0;[&gt;99999]##\,##\,##0;##,##0</c:formatCode>
                <c:ptCount val="12"/>
                <c:pt idx="0">
                  <c:v>45492.51</c:v>
                </c:pt>
                <c:pt idx="1">
                  <c:v>32193.26</c:v>
                </c:pt>
                <c:pt idx="2">
                  <c:v>17920.55</c:v>
                </c:pt>
                <c:pt idx="3">
                  <c:v>-19645.759999999998</c:v>
                </c:pt>
                <c:pt idx="4">
                  <c:v>-9794.5400000000009</c:v>
                </c:pt>
                <c:pt idx="5">
                  <c:v>10699.37</c:v>
                </c:pt>
                <c:pt idx="6">
                  <c:v>41364.71</c:v>
                </c:pt>
                <c:pt idx="7">
                  <c:v>31897.85</c:v>
                </c:pt>
                <c:pt idx="8">
                  <c:v>25780.28</c:v>
                </c:pt>
                <c:pt idx="9">
                  <c:v>17004.97</c:v>
                </c:pt>
                <c:pt idx="10">
                  <c:v>31975.11</c:v>
                </c:pt>
                <c:pt idx="11">
                  <c:v>20349.349999999999</c:v>
                </c:pt>
              </c:numCache>
            </c:numRef>
          </c:val>
          <c:extLst>
            <c:ext xmlns:c16="http://schemas.microsoft.com/office/drawing/2014/chart" uri="{C3380CC4-5D6E-409C-BE32-E72D297353CC}">
              <c16:uniqueId val="{00000001-F42A-42FD-BF4A-008EE7FA75F7}"/>
            </c:ext>
          </c:extLst>
        </c:ser>
        <c:dLbls>
          <c:showLegendKey val="0"/>
          <c:showVal val="0"/>
          <c:showCatName val="0"/>
          <c:showSerName val="0"/>
          <c:showPercent val="0"/>
          <c:showBubbleSize val="0"/>
        </c:dLbls>
        <c:gapWidth val="150"/>
        <c:axId val="484400608"/>
        <c:axId val="484399432"/>
      </c:barChart>
      <c:lineChart>
        <c:grouping val="standard"/>
        <c:varyColors val="0"/>
        <c:ser>
          <c:idx val="2"/>
          <c:order val="2"/>
          <c:tx>
            <c:strRef>
              <c:f>'F11'!$D$2</c:f>
              <c:strCache>
                <c:ptCount val="1"/>
                <c:pt idx="0">
                  <c:v>Total</c:v>
                </c:pt>
              </c:strCache>
            </c:strRef>
          </c:tx>
          <c:spPr>
            <a:ln>
              <a:solidFill>
                <a:srgbClr val="002060"/>
              </a:solidFill>
            </a:ln>
          </c:spPr>
          <c:marker>
            <c:symbol val="diamond"/>
            <c:size val="4"/>
            <c:spPr>
              <a:solidFill>
                <a:schemeClr val="tx2"/>
              </a:solidFill>
              <a:ln cap="sq">
                <a:solidFill>
                  <a:schemeClr val="tx2"/>
                </a:solidFill>
                <a:bevel/>
                <a:headEnd type="diamond"/>
              </a:ln>
            </c:spPr>
          </c:marker>
          <c:cat>
            <c:numRef>
              <c:f>'F11'!$A$11:$A$22</c:f>
              <c:numCache>
                <c:formatCode>[$-409]mmm\-yy</c:formatCode>
                <c:ptCount val="12"/>
                <c:pt idx="0">
                  <c:v>43800</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'F11'!$D$11:$D$22</c:f>
              <c:numCache>
                <c:formatCode>[&gt;9999999]##\,##\,##\,##0;[&gt;99999]##\,##\,##0;##,##0</c:formatCode>
                <c:ptCount val="12"/>
                <c:pt idx="0">
                  <c:v>47297.55</c:v>
                </c:pt>
                <c:pt idx="1">
                  <c:v>33577.64</c:v>
                </c:pt>
                <c:pt idx="2">
                  <c:v>27910.37</c:v>
                </c:pt>
                <c:pt idx="3">
                  <c:v>10639.880000000001</c:v>
                </c:pt>
                <c:pt idx="4">
                  <c:v>-17760.04</c:v>
                </c:pt>
                <c:pt idx="5">
                  <c:v>17221.82</c:v>
                </c:pt>
                <c:pt idx="6">
                  <c:v>40863.21</c:v>
                </c:pt>
                <c:pt idx="7">
                  <c:v>22702.809999999998</c:v>
                </c:pt>
                <c:pt idx="8">
                  <c:v>16566.839999999997</c:v>
                </c:pt>
                <c:pt idx="9">
                  <c:v>12870.600000000002</c:v>
                </c:pt>
                <c:pt idx="10">
                  <c:v>17483.32</c:v>
                </c:pt>
                <c:pt idx="11">
                  <c:v>-10410.720000000001</c:v>
                </c:pt>
              </c:numCache>
            </c:numRef>
          </c:val>
          <c:smooth val="0"/>
          <c:extLst>
            <c:ext xmlns:c16="http://schemas.microsoft.com/office/drawing/2014/chart" uri="{C3380CC4-5D6E-409C-BE32-E72D297353CC}">
              <c16:uniqueId val="{00000002-F42A-42FD-BF4A-008EE7FA75F7}"/>
            </c:ext>
          </c:extLst>
        </c:ser>
        <c:dLbls>
          <c:showLegendKey val="0"/>
          <c:showVal val="0"/>
          <c:showCatName val="0"/>
          <c:showSerName val="0"/>
          <c:showPercent val="0"/>
          <c:showBubbleSize val="0"/>
        </c:dLbls>
        <c:marker val="1"/>
        <c:smooth val="0"/>
        <c:axId val="484400608"/>
        <c:axId val="484399432"/>
      </c:lineChart>
      <c:catAx>
        <c:axId val="484400608"/>
        <c:scaling>
          <c:orientation val="minMax"/>
        </c:scaling>
        <c:delete val="0"/>
        <c:axPos val="b"/>
        <c:numFmt formatCode="[$-409]mmm\-yy" sourceLinked="1"/>
        <c:majorTickMark val="none"/>
        <c:minorTickMark val="none"/>
        <c:tickLblPos val="low"/>
        <c:txPr>
          <a:bodyPr rot="-5400000" vert="horz"/>
          <a:lstStyle/>
          <a:p>
            <a:pPr>
              <a:defRPr b="0"/>
            </a:pPr>
            <a:endParaRPr lang="en-US"/>
          </a:p>
        </c:txPr>
        <c:crossAx val="484399432"/>
        <c:crosses val="autoZero"/>
        <c:auto val="0"/>
        <c:lblAlgn val="ctr"/>
        <c:lblOffset val="1"/>
        <c:noMultiLvlLbl val="0"/>
      </c:catAx>
      <c:valAx>
        <c:axId val="484399432"/>
        <c:scaling>
          <c:orientation val="minMax"/>
          <c:min val="-35000"/>
        </c:scaling>
        <c:delete val="0"/>
        <c:axPos val="l"/>
        <c:majorGridlines/>
        <c:title>
          <c:tx>
            <c:rich>
              <a:bodyPr/>
              <a:lstStyle/>
              <a:p>
                <a:pPr>
                  <a:defRPr/>
                </a:pPr>
                <a:r>
                  <a:rPr lang="en-GB" sz="900" b="0" i="0" baseline="0">
                    <a:effectLst/>
                  </a:rPr>
                  <a:t>₹</a:t>
                </a:r>
                <a:r>
                  <a:rPr lang="en-US" sz="900" b="0" i="0" baseline="0">
                    <a:effectLst/>
                  </a:rPr>
                  <a:t> crore</a:t>
                </a:r>
                <a:endParaRPr lang="en-IN" sz="900">
                  <a:effectLst/>
                </a:endParaRPr>
              </a:p>
            </c:rich>
          </c:tx>
          <c:layout>
            <c:manualLayout>
              <c:xMode val="edge"/>
              <c:yMode val="edge"/>
              <c:x val="0"/>
              <c:y val="0.37212440503008865"/>
            </c:manualLayout>
          </c:layout>
          <c:overlay val="0"/>
        </c:title>
        <c:numFmt formatCode="[&gt;9999999]##\,##\,##\,##0;[&gt;99999]##\,##\,##0;##,##0" sourceLinked="1"/>
        <c:majorTickMark val="out"/>
        <c:minorTickMark val="none"/>
        <c:tickLblPos val="nextTo"/>
        <c:spPr>
          <a:ln>
            <a:noFill/>
          </a:ln>
        </c:spPr>
        <c:txPr>
          <a:bodyPr/>
          <a:lstStyle/>
          <a:p>
            <a:pPr>
              <a:defRPr b="0"/>
            </a:pPr>
            <a:endParaRPr lang="en-US"/>
          </a:p>
        </c:txPr>
        <c:crossAx val="484400608"/>
        <c:crosses val="autoZero"/>
        <c:crossBetween val="between"/>
        <c:majorUnit val="10000"/>
      </c:valAx>
      <c:spPr>
        <a:noFill/>
      </c:spPr>
    </c:plotArea>
    <c:legend>
      <c:legendPos val="b"/>
      <c:layout>
        <c:manualLayout>
          <c:xMode val="edge"/>
          <c:yMode val="edge"/>
          <c:x val="0.27249453819226865"/>
          <c:y val="0.89266853845790795"/>
          <c:w val="0.47305882728441651"/>
          <c:h val="6.9774466716542874E-2"/>
        </c:manualLayout>
      </c:layout>
      <c:overlay val="0"/>
      <c:spPr>
        <a:noFill/>
        <a:ln w="3175">
          <a:noFill/>
        </a:ln>
      </c:spPr>
      <c:txPr>
        <a:bodyPr/>
        <a:lstStyle/>
        <a:p>
          <a:pPr>
            <a:defRPr b="0"/>
          </a:pPr>
          <a:endParaRPr lang="en-US"/>
        </a:p>
      </c:txPr>
    </c:legend>
    <c:plotVisOnly val="1"/>
    <c:dispBlanksAs val="gap"/>
    <c:showDLblsOverMax val="0"/>
  </c:chart>
  <c:spPr>
    <a:solidFill>
      <a:schemeClr val="bg1"/>
    </a:solidFill>
    <a:ln w="3175">
      <a:solidFill>
        <a:schemeClr val="bg1">
          <a:lumMod val="50000"/>
        </a:schemeClr>
      </a:solidFill>
    </a:ln>
  </c:spPr>
  <c:txPr>
    <a:bodyPr/>
    <a:lstStyle/>
    <a:p>
      <a:pPr>
        <a:defRPr sz="900" b="1" i="0" baseline="0">
          <a:latin typeface="Palatino Linotype" panose="0204050205050503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935239203335"/>
          <c:y val="8.1861646885150491E-2"/>
          <c:w val="0.83013306049462665"/>
          <c:h val="0.77243083341247287"/>
        </c:manualLayout>
      </c:layout>
      <c:barChart>
        <c:barDir val="col"/>
        <c:grouping val="clustered"/>
        <c:varyColors val="0"/>
        <c:ser>
          <c:idx val="0"/>
          <c:order val="0"/>
          <c:tx>
            <c:strRef>
              <c:f>'F 12'!$B$3</c:f>
              <c:strCache>
                <c:ptCount val="1"/>
                <c:pt idx="0">
                  <c:v>Equity </c:v>
                </c:pt>
              </c:strCache>
            </c:strRef>
          </c:tx>
          <c:spPr>
            <a:solidFill>
              <a:schemeClr val="accent1"/>
            </a:solidFill>
            <a:ln>
              <a:noFill/>
            </a:ln>
            <a:effectLst/>
          </c:spPr>
          <c:invertIfNegative val="0"/>
          <c:cat>
            <c:numRef>
              <c:f>'F 12'!$A$12:$A$23</c:f>
              <c:numCache>
                <c:formatCode>[$-409]mmm\-yy</c:formatCode>
                <c:ptCount val="12"/>
                <c:pt idx="0">
                  <c:v>43800</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 12'!$B$12:$B$23</c:f>
              <c:numCache>
                <c:formatCode>#,##0.0</c:formatCode>
                <c:ptCount val="12"/>
                <c:pt idx="0">
                  <c:v>7338</c:v>
                </c:pt>
                <c:pt idx="1">
                  <c:v>12123</c:v>
                </c:pt>
                <c:pt idx="2">
                  <c:v>1820</c:v>
                </c:pt>
                <c:pt idx="3">
                  <c:v>-61973</c:v>
                </c:pt>
                <c:pt idx="4">
                  <c:v>-6884</c:v>
                </c:pt>
                <c:pt idx="5">
                  <c:v>14568.77</c:v>
                </c:pt>
                <c:pt idx="6">
                  <c:v>21831.62</c:v>
                </c:pt>
                <c:pt idx="7">
                  <c:v>7562.71</c:v>
                </c:pt>
                <c:pt idx="8">
                  <c:v>47080</c:v>
                </c:pt>
                <c:pt idx="9">
                  <c:v>-7783</c:v>
                </c:pt>
                <c:pt idx="10">
                  <c:v>19540.73</c:v>
                </c:pt>
                <c:pt idx="11">
                  <c:v>60357.67</c:v>
                </c:pt>
              </c:numCache>
            </c:numRef>
          </c:val>
          <c:extLst>
            <c:ext xmlns:c16="http://schemas.microsoft.com/office/drawing/2014/chart" uri="{C3380CC4-5D6E-409C-BE32-E72D297353CC}">
              <c16:uniqueId val="{00000000-9AC5-4A9A-B84F-F3AF6D6FC27B}"/>
            </c:ext>
          </c:extLst>
        </c:ser>
        <c:ser>
          <c:idx val="1"/>
          <c:order val="1"/>
          <c:tx>
            <c:strRef>
              <c:f>'F 12'!$C$3</c:f>
              <c:strCache>
                <c:ptCount val="1"/>
                <c:pt idx="0">
                  <c:v>Debt </c:v>
                </c:pt>
              </c:strCache>
            </c:strRef>
          </c:tx>
          <c:spPr>
            <a:solidFill>
              <a:schemeClr val="accent2"/>
            </a:solidFill>
            <a:ln>
              <a:noFill/>
            </a:ln>
            <a:effectLst/>
          </c:spPr>
          <c:invertIfNegative val="0"/>
          <c:cat>
            <c:numRef>
              <c:f>'F 12'!$A$12:$A$23</c:f>
              <c:numCache>
                <c:formatCode>[$-409]mmm\-yy</c:formatCode>
                <c:ptCount val="12"/>
                <c:pt idx="0">
                  <c:v>43800</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 12'!$C$12:$C$23</c:f>
              <c:numCache>
                <c:formatCode>#,##0.0</c:formatCode>
                <c:ptCount val="12"/>
                <c:pt idx="0">
                  <c:v>-4616</c:v>
                </c:pt>
                <c:pt idx="1">
                  <c:v>-11119</c:v>
                </c:pt>
                <c:pt idx="2">
                  <c:v>4734</c:v>
                </c:pt>
                <c:pt idx="3">
                  <c:v>-56211</c:v>
                </c:pt>
                <c:pt idx="4">
                  <c:v>-8519</c:v>
                </c:pt>
                <c:pt idx="5">
                  <c:v>-21935.37</c:v>
                </c:pt>
                <c:pt idx="6">
                  <c:v>2220.75</c:v>
                </c:pt>
                <c:pt idx="7">
                  <c:v>-4261.9799999999996</c:v>
                </c:pt>
                <c:pt idx="8">
                  <c:v>-548</c:v>
                </c:pt>
                <c:pt idx="9">
                  <c:v>4364</c:v>
                </c:pt>
                <c:pt idx="10">
                  <c:v>2492.14</c:v>
                </c:pt>
                <c:pt idx="11">
                  <c:v>2593.4299999999998</c:v>
                </c:pt>
              </c:numCache>
            </c:numRef>
          </c:val>
          <c:extLst>
            <c:ext xmlns:c16="http://schemas.microsoft.com/office/drawing/2014/chart" uri="{C3380CC4-5D6E-409C-BE32-E72D297353CC}">
              <c16:uniqueId val="{00000001-9AC5-4A9A-B84F-F3AF6D6FC27B}"/>
            </c:ext>
          </c:extLst>
        </c:ser>
        <c:dLbls>
          <c:showLegendKey val="0"/>
          <c:showVal val="0"/>
          <c:showCatName val="0"/>
          <c:showSerName val="0"/>
          <c:showPercent val="0"/>
          <c:showBubbleSize val="0"/>
        </c:dLbls>
        <c:gapWidth val="150"/>
        <c:axId val="634247648"/>
        <c:axId val="634247256"/>
      </c:barChart>
      <c:lineChart>
        <c:grouping val="standard"/>
        <c:varyColors val="0"/>
        <c:ser>
          <c:idx val="2"/>
          <c:order val="2"/>
          <c:tx>
            <c:strRef>
              <c:f>'F 12'!$D$3</c:f>
              <c:strCache>
                <c:ptCount val="1"/>
                <c:pt idx="0">
                  <c:v>Hybrid </c:v>
                </c:pt>
              </c:strCache>
            </c:strRef>
          </c:tx>
          <c:spPr>
            <a:ln w="28575" cap="rnd">
              <a:solidFill>
                <a:schemeClr val="accent3"/>
              </a:solidFill>
              <a:round/>
            </a:ln>
            <a:effectLst/>
          </c:spPr>
          <c:marker>
            <c:symbol val="none"/>
          </c:marker>
          <c:cat>
            <c:numRef>
              <c:f>'F 12'!$A$12:$A$23</c:f>
              <c:numCache>
                <c:formatCode>[$-409]mmm\-yy</c:formatCode>
                <c:ptCount val="12"/>
                <c:pt idx="0">
                  <c:v>43800</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 12'!$D$10:$D$21</c:f>
              <c:numCache>
                <c:formatCode>#,##0.0</c:formatCode>
                <c:ptCount val="12"/>
                <c:pt idx="0">
                  <c:v>31</c:v>
                </c:pt>
                <c:pt idx="1">
                  <c:v>126</c:v>
                </c:pt>
                <c:pt idx="2">
                  <c:v>40</c:v>
                </c:pt>
                <c:pt idx="3">
                  <c:v>-46</c:v>
                </c:pt>
                <c:pt idx="4">
                  <c:v>2416</c:v>
                </c:pt>
                <c:pt idx="5">
                  <c:v>-19</c:v>
                </c:pt>
                <c:pt idx="6">
                  <c:v>544</c:v>
                </c:pt>
                <c:pt idx="7">
                  <c:v>10.75</c:v>
                </c:pt>
                <c:pt idx="8">
                  <c:v>1957.06</c:v>
                </c:pt>
                <c:pt idx="9">
                  <c:v>0.71</c:v>
                </c:pt>
                <c:pt idx="10">
                  <c:v>3347</c:v>
                </c:pt>
                <c:pt idx="11">
                  <c:v>2222</c:v>
                </c:pt>
              </c:numCache>
            </c:numRef>
          </c:val>
          <c:smooth val="0"/>
          <c:extLst>
            <c:ext xmlns:c16="http://schemas.microsoft.com/office/drawing/2014/chart" uri="{C3380CC4-5D6E-409C-BE32-E72D297353CC}">
              <c16:uniqueId val="{00000002-9AC5-4A9A-B84F-F3AF6D6FC27B}"/>
            </c:ext>
          </c:extLst>
        </c:ser>
        <c:ser>
          <c:idx val="3"/>
          <c:order val="3"/>
          <c:tx>
            <c:strRef>
              <c:f>'F 12'!$E$3</c:f>
              <c:strCache>
                <c:ptCount val="1"/>
                <c:pt idx="0">
                  <c:v>Total</c:v>
                </c:pt>
              </c:strCache>
            </c:strRef>
          </c:tx>
          <c:spPr>
            <a:ln w="28575" cap="rnd">
              <a:solidFill>
                <a:schemeClr val="accent4"/>
              </a:solidFill>
              <a:round/>
            </a:ln>
            <a:effectLst/>
          </c:spPr>
          <c:marker>
            <c:symbol val="none"/>
          </c:marker>
          <c:cat>
            <c:numRef>
              <c:f>'F 12'!$A$12:$A$23</c:f>
              <c:numCache>
                <c:formatCode>[$-409]mmm\-yy</c:formatCode>
                <c:ptCount val="12"/>
                <c:pt idx="0">
                  <c:v>43800</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 12'!$E$12:$E$23</c:f>
              <c:numCache>
                <c:formatCode>#,##0.0</c:formatCode>
                <c:ptCount val="12"/>
                <c:pt idx="0">
                  <c:v>2762</c:v>
                </c:pt>
                <c:pt idx="1">
                  <c:v>957</c:v>
                </c:pt>
                <c:pt idx="2">
                  <c:v>8970</c:v>
                </c:pt>
                <c:pt idx="3">
                  <c:v>-118203</c:v>
                </c:pt>
                <c:pt idx="4">
                  <c:v>-14859</c:v>
                </c:pt>
                <c:pt idx="5">
                  <c:v>-7355.8499999999985</c:v>
                </c:pt>
                <c:pt idx="6">
                  <c:v>26009.43</c:v>
                </c:pt>
                <c:pt idx="7">
                  <c:v>3301.4400000000005</c:v>
                </c:pt>
                <c:pt idx="8">
                  <c:v>49879</c:v>
                </c:pt>
                <c:pt idx="9">
                  <c:v>-1197</c:v>
                </c:pt>
                <c:pt idx="10">
                  <c:v>21826.129999999997</c:v>
                </c:pt>
                <c:pt idx="11">
                  <c:v>62781.75</c:v>
                </c:pt>
              </c:numCache>
            </c:numRef>
          </c:val>
          <c:smooth val="0"/>
          <c:extLst>
            <c:ext xmlns:c16="http://schemas.microsoft.com/office/drawing/2014/chart" uri="{C3380CC4-5D6E-409C-BE32-E72D297353CC}">
              <c16:uniqueId val="{00000003-9AC5-4A9A-B84F-F3AF6D6FC27B}"/>
            </c:ext>
          </c:extLst>
        </c:ser>
        <c:dLbls>
          <c:showLegendKey val="0"/>
          <c:showVal val="0"/>
          <c:showCatName val="0"/>
          <c:showSerName val="0"/>
          <c:showPercent val="0"/>
          <c:showBubbleSize val="0"/>
        </c:dLbls>
        <c:marker val="1"/>
        <c:smooth val="0"/>
        <c:axId val="634247648"/>
        <c:axId val="634247256"/>
      </c:lineChart>
      <c:dateAx>
        <c:axId val="634247648"/>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34247256"/>
        <c:crosses val="autoZero"/>
        <c:auto val="1"/>
        <c:lblOffset val="100"/>
        <c:baseTimeUnit val="months"/>
      </c:dateAx>
      <c:valAx>
        <c:axId val="634247256"/>
        <c:scaling>
          <c:orientation val="minMax"/>
          <c:min val="-1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u="none" strike="noStrike" baseline="0">
                    <a:effectLst/>
                  </a:rPr>
                  <a:t>₹</a:t>
                </a:r>
                <a:r>
                  <a:rPr lang="en-US">
                    <a:solidFill>
                      <a:sysClr val="windowText" lastClr="000000"/>
                    </a:solidFill>
                  </a:rPr>
                  <a:t> crore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34247648"/>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2283377463797"/>
          <c:y val="4.6308180203127915E-2"/>
          <c:w val="0.79940171481497913"/>
          <c:h val="0.64955325380847262"/>
        </c:manualLayout>
      </c:layout>
      <c:barChart>
        <c:barDir val="col"/>
        <c:grouping val="clustered"/>
        <c:varyColors val="1"/>
        <c:ser>
          <c:idx val="0"/>
          <c:order val="0"/>
          <c:tx>
            <c:strRef>
              <c:f>'F13'!$B$5</c:f>
              <c:strCache>
                <c:ptCount val="1"/>
                <c:pt idx="0">
                  <c:v>Offer Value (LHS)</c:v>
                </c:pt>
              </c:strCache>
            </c:strRef>
          </c:tx>
          <c:spPr>
            <a:solidFill>
              <a:srgbClr val="00B050"/>
            </a:solidFill>
            <a:ln>
              <a:noFill/>
            </a:ln>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'F13'!$A$14:$A$25</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'F13'!$B$14:$B$25</c:f>
              <c:numCache>
                <c:formatCode>_(* #,##0.0_);_(* \(#,##0.0\);_(* "-"??_);_(@_)</c:formatCode>
                <c:ptCount val="12"/>
                <c:pt idx="0">
                  <c:v>349.02000000000004</c:v>
                </c:pt>
                <c:pt idx="1">
                  <c:v>5078.96</c:v>
                </c:pt>
                <c:pt idx="2">
                  <c:v>20.440000000000001</c:v>
                </c:pt>
                <c:pt idx="3">
                  <c:v>465.13</c:v>
                </c:pt>
                <c:pt idx="4">
                  <c:v>3.72</c:v>
                </c:pt>
                <c:pt idx="5">
                  <c:v>0</c:v>
                </c:pt>
                <c:pt idx="6">
                  <c:v>1088.1099999999999</c:v>
                </c:pt>
                <c:pt idx="7">
                  <c:v>528.16</c:v>
                </c:pt>
                <c:pt idx="8">
                  <c:v>3861.67</c:v>
                </c:pt>
                <c:pt idx="9">
                  <c:v>3010.3900000000003</c:v>
                </c:pt>
                <c:pt idx="10">
                  <c:v>480.5</c:v>
                </c:pt>
                <c:pt idx="11">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5E86-4C7E-8584-83C25707CD6E}"/>
            </c:ext>
          </c:extLst>
        </c:ser>
        <c:dLbls>
          <c:showLegendKey val="0"/>
          <c:showVal val="0"/>
          <c:showCatName val="0"/>
          <c:showSerName val="0"/>
          <c:showPercent val="0"/>
          <c:showBubbleSize val="0"/>
        </c:dLbls>
        <c:gapWidth val="280"/>
        <c:axId val="634248824"/>
        <c:axId val="634248432"/>
      </c:barChart>
      <c:lineChart>
        <c:grouping val="standard"/>
        <c:varyColors val="0"/>
        <c:ser>
          <c:idx val="1"/>
          <c:order val="1"/>
          <c:tx>
            <c:strRef>
              <c:f>'F13'!$C$5</c:f>
              <c:strCache>
                <c:ptCount val="1"/>
                <c:pt idx="0">
                  <c:v>Number of Open Offers (RHS)</c:v>
                </c:pt>
              </c:strCache>
            </c:strRef>
          </c:tx>
          <c:spPr>
            <a:ln w="28575" cmpd="sng">
              <a:solidFill>
                <a:srgbClr val="FF0000"/>
              </a:solidFill>
              <a:prstDash val="solid"/>
            </a:ln>
          </c:spPr>
          <c:marker>
            <c:symbol val="circle"/>
            <c:size val="5"/>
            <c:spPr>
              <a:solidFill>
                <a:srgbClr val="FF0000"/>
              </a:solidFill>
              <a:ln cmpd="sng">
                <a:solidFill>
                  <a:srgbClr val="FF0000"/>
                </a:solidFill>
              </a:ln>
            </c:spPr>
          </c:marker>
          <c:cat>
            <c:numRef>
              <c:f>'F13'!$A$14:$A$25</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'F13'!$C$14:$C$25</c:f>
              <c:numCache>
                <c:formatCode>[&gt;=10000000]#.#\,##\,##0;[&gt;=100000]#.#\,##0;##,##0</c:formatCode>
                <c:ptCount val="12"/>
                <c:pt idx="0">
                  <c:v>3</c:v>
                </c:pt>
                <c:pt idx="1">
                  <c:v>3</c:v>
                </c:pt>
                <c:pt idx="2">
                  <c:v>1</c:v>
                </c:pt>
                <c:pt idx="3">
                  <c:v>7</c:v>
                </c:pt>
                <c:pt idx="4">
                  <c:v>3</c:v>
                </c:pt>
                <c:pt idx="5">
                  <c:v>0</c:v>
                </c:pt>
                <c:pt idx="6">
                  <c:v>4</c:v>
                </c:pt>
                <c:pt idx="7">
                  <c:v>2</c:v>
                </c:pt>
                <c:pt idx="8">
                  <c:v>9</c:v>
                </c:pt>
                <c:pt idx="9">
                  <c:v>6</c:v>
                </c:pt>
                <c:pt idx="10">
                  <c:v>6</c:v>
                </c:pt>
                <c:pt idx="11">
                  <c:v>0</c:v>
                </c:pt>
              </c:numCache>
            </c:numRef>
          </c:val>
          <c:smooth val="0"/>
          <c:extLst>
            <c:ext xmlns:c16="http://schemas.microsoft.com/office/drawing/2014/chart" uri="{C3380CC4-5D6E-409C-BE32-E72D297353CC}">
              <c16:uniqueId val="{00000001-5E86-4C7E-8584-83C25707CD6E}"/>
            </c:ext>
          </c:extLst>
        </c:ser>
        <c:dLbls>
          <c:showLegendKey val="0"/>
          <c:showVal val="0"/>
          <c:showCatName val="0"/>
          <c:showSerName val="0"/>
          <c:showPercent val="0"/>
          <c:showBubbleSize val="0"/>
        </c:dLbls>
        <c:marker val="1"/>
        <c:smooth val="0"/>
        <c:axId val="634249216"/>
        <c:axId val="634250000"/>
      </c:lineChart>
      <c:dateAx>
        <c:axId val="634248824"/>
        <c:scaling>
          <c:orientation val="minMax"/>
        </c:scaling>
        <c:delete val="0"/>
        <c:axPos val="b"/>
        <c:title>
          <c:tx>
            <c:rich>
              <a:bodyPr/>
              <a:lstStyle/>
              <a:p>
                <a:pPr>
                  <a:defRPr/>
                </a:pPr>
                <a:endParaRPr lang="en-IN"/>
              </a:p>
            </c:rich>
          </c:tx>
          <c:overlay val="0"/>
        </c:title>
        <c:numFmt formatCode="[$-409]mmm\-yy" sourceLinked="1"/>
        <c:majorTickMark val="none"/>
        <c:minorTickMark val="none"/>
        <c:tickLblPos val="nextTo"/>
        <c:spPr>
          <a:solidFill>
            <a:srgbClr val="FFFFFF"/>
          </a:solidFill>
          <a:ln w="9525">
            <a:solidFill>
              <a:schemeClr val="tx1">
                <a:shade val="95000"/>
                <a:satMod val="105000"/>
              </a:schemeClr>
            </a:solidFill>
          </a:ln>
        </c:spPr>
        <c:txPr>
          <a:bodyPr rot="-5400000"/>
          <a:lstStyle/>
          <a:p>
            <a:pPr>
              <a:defRPr/>
            </a:pPr>
            <a:endParaRPr lang="en-US"/>
          </a:p>
        </c:txPr>
        <c:crossAx val="634248432"/>
        <c:crosses val="autoZero"/>
        <c:auto val="1"/>
        <c:lblOffset val="100"/>
        <c:baseTimeUnit val="months"/>
      </c:dateAx>
      <c:valAx>
        <c:axId val="634248432"/>
        <c:scaling>
          <c:orientation val="minMax"/>
          <c:min val="0"/>
        </c:scaling>
        <c:delete val="0"/>
        <c:axPos val="l"/>
        <c:title>
          <c:tx>
            <c:rich>
              <a:bodyPr/>
              <a:lstStyle/>
              <a:p>
                <a:pPr>
                  <a:defRPr b="0"/>
                </a:pPr>
                <a:r>
                  <a:rPr lang="en-IN" b="0"/>
                  <a:t>₹ crore</a:t>
                </a:r>
              </a:p>
            </c:rich>
          </c:tx>
          <c:layout>
            <c:manualLayout>
              <c:xMode val="edge"/>
              <c:yMode val="edge"/>
              <c:x val="8.2879445052006524E-3"/>
              <c:y val="0.36157947531625151"/>
            </c:manualLayout>
          </c:layout>
          <c:overlay val="0"/>
        </c:title>
        <c:numFmt formatCode="#,##0" sourceLinked="0"/>
        <c:majorTickMark val="cross"/>
        <c:minorTickMark val="cross"/>
        <c:tickLblPos val="nextTo"/>
        <c:spPr>
          <a:ln w="47625">
            <a:noFill/>
          </a:ln>
        </c:spPr>
        <c:txPr>
          <a:bodyPr rot="0"/>
          <a:lstStyle/>
          <a:p>
            <a:pPr>
              <a:defRPr/>
            </a:pPr>
            <a:endParaRPr lang="en-US"/>
          </a:p>
        </c:txPr>
        <c:crossAx val="634248824"/>
        <c:crosses val="autoZero"/>
        <c:crossBetween val="between"/>
      </c:valAx>
      <c:dateAx>
        <c:axId val="634249216"/>
        <c:scaling>
          <c:orientation val="minMax"/>
        </c:scaling>
        <c:delete val="1"/>
        <c:axPos val="b"/>
        <c:numFmt formatCode="[$-409]mmm\-yy" sourceLinked="1"/>
        <c:majorTickMark val="cross"/>
        <c:minorTickMark val="cross"/>
        <c:tickLblPos val="nextTo"/>
        <c:crossAx val="634250000"/>
        <c:crosses val="autoZero"/>
        <c:auto val="1"/>
        <c:lblOffset val="100"/>
        <c:baseTimeUnit val="months"/>
      </c:dateAx>
      <c:valAx>
        <c:axId val="634250000"/>
        <c:scaling>
          <c:orientation val="minMax"/>
          <c:min val="0"/>
        </c:scaling>
        <c:delete val="0"/>
        <c:axPos val="r"/>
        <c:title>
          <c:tx>
            <c:rich>
              <a:bodyPr rot="5400000" vert="horz"/>
              <a:lstStyle/>
              <a:p>
                <a:pPr>
                  <a:defRPr b="0"/>
                </a:pPr>
                <a:r>
                  <a:rPr lang="en-IN" b="0"/>
                  <a:t>Number</a:t>
                </a:r>
              </a:p>
            </c:rich>
          </c:tx>
          <c:layout>
            <c:manualLayout>
              <c:xMode val="edge"/>
              <c:yMode val="edge"/>
              <c:x val="0.96680645867737003"/>
              <c:y val="0.3901065653797765"/>
            </c:manualLayout>
          </c:layout>
          <c:overlay val="0"/>
        </c:title>
        <c:numFmt formatCode="[&gt;=10000000]#.#\,##\,##0;[&gt;=100000]#.#\,##0;##,##0" sourceLinked="1"/>
        <c:majorTickMark val="cross"/>
        <c:minorTickMark val="cross"/>
        <c:tickLblPos val="nextTo"/>
        <c:spPr>
          <a:ln w="47625">
            <a:noFill/>
          </a:ln>
        </c:spPr>
        <c:crossAx val="634249216"/>
        <c:crosses val="max"/>
        <c:crossBetween val="between"/>
      </c:valAx>
    </c:plotArea>
    <c:legend>
      <c:legendPos val="b"/>
      <c:overlay val="0"/>
    </c:legend>
    <c:plotVisOnly val="1"/>
    <c:dispBlanksAs val="zero"/>
    <c:showDLblsOverMax val="1"/>
  </c:chart>
  <c:spPr>
    <a:solidFill>
      <a:srgbClr val="FFFFFF"/>
    </a:solidFill>
  </c:spPr>
  <c:txPr>
    <a:bodyPr/>
    <a:lstStyle/>
    <a:p>
      <a:pPr>
        <a:defRPr sz="900">
          <a:solidFill>
            <a:sysClr val="windowText" lastClr="000000"/>
          </a:solidFill>
          <a:latin typeface="Palatino Linotype" panose="0204050205050503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MCX iCOMDEX</c:v>
          </c:tx>
          <c:spPr>
            <a:ln w="28575" cap="rnd">
              <a:solidFill>
                <a:schemeClr val="accent1"/>
              </a:solidFill>
              <a:round/>
            </a:ln>
            <a:effectLst/>
          </c:spPr>
          <c:marker>
            <c:symbol val="none"/>
          </c:marker>
          <c:cat>
            <c:numRef>
              <c:f>Graph!$D$151:$D$173</c:f>
              <c:numCache>
                <c:formatCode>d\-mmm\-yy</c:formatCode>
                <c:ptCount val="23"/>
                <c:pt idx="0">
                  <c:v>44134</c:v>
                </c:pt>
                <c:pt idx="1">
                  <c:v>44137</c:v>
                </c:pt>
                <c:pt idx="2">
                  <c:v>44138</c:v>
                </c:pt>
                <c:pt idx="3">
                  <c:v>44139</c:v>
                </c:pt>
                <c:pt idx="4">
                  <c:v>44140</c:v>
                </c:pt>
                <c:pt idx="5">
                  <c:v>44141</c:v>
                </c:pt>
                <c:pt idx="6">
                  <c:v>44144</c:v>
                </c:pt>
                <c:pt idx="7">
                  <c:v>44145</c:v>
                </c:pt>
                <c:pt idx="8">
                  <c:v>44146</c:v>
                </c:pt>
                <c:pt idx="9">
                  <c:v>44147</c:v>
                </c:pt>
                <c:pt idx="10">
                  <c:v>44148</c:v>
                </c:pt>
                <c:pt idx="11">
                  <c:v>44149</c:v>
                </c:pt>
                <c:pt idx="12">
                  <c:v>44151</c:v>
                </c:pt>
                <c:pt idx="13">
                  <c:v>44152</c:v>
                </c:pt>
                <c:pt idx="14">
                  <c:v>44153</c:v>
                </c:pt>
                <c:pt idx="15">
                  <c:v>44154</c:v>
                </c:pt>
                <c:pt idx="16">
                  <c:v>44155</c:v>
                </c:pt>
                <c:pt idx="17">
                  <c:v>44158</c:v>
                </c:pt>
                <c:pt idx="18">
                  <c:v>44159</c:v>
                </c:pt>
                <c:pt idx="19">
                  <c:v>44160</c:v>
                </c:pt>
                <c:pt idx="20">
                  <c:v>44161</c:v>
                </c:pt>
                <c:pt idx="21">
                  <c:v>44162</c:v>
                </c:pt>
                <c:pt idx="22">
                  <c:v>44165</c:v>
                </c:pt>
              </c:numCache>
            </c:numRef>
          </c:cat>
          <c:val>
            <c:numRef>
              <c:f>Graph!$E$151:$E$173</c:f>
              <c:numCache>
                <c:formatCode>0.00</c:formatCode>
                <c:ptCount val="23"/>
                <c:pt idx="0">
                  <c:v>100</c:v>
                </c:pt>
                <c:pt idx="1">
                  <c:v>100.88336037497744</c:v>
                </c:pt>
                <c:pt idx="2">
                  <c:v>101.9876114834823</c:v>
                </c:pt>
                <c:pt idx="3">
                  <c:v>101.51878837229557</c:v>
                </c:pt>
                <c:pt idx="4">
                  <c:v>102.98946895072342</c:v>
                </c:pt>
                <c:pt idx="5">
                  <c:v>103.0575288191005</c:v>
                </c:pt>
                <c:pt idx="6">
                  <c:v>101.5907981437481</c:v>
                </c:pt>
                <c:pt idx="7">
                  <c:v>102.97721412323294</c:v>
                </c:pt>
                <c:pt idx="8">
                  <c:v>102.85972982662965</c:v>
                </c:pt>
                <c:pt idx="9">
                  <c:v>103.3658238181181</c:v>
                </c:pt>
                <c:pt idx="10">
                  <c:v>103.61649074406044</c:v>
                </c:pt>
                <c:pt idx="11">
                  <c:v>103.68505701026771</c:v>
                </c:pt>
                <c:pt idx="12">
                  <c:v>103.91739233475731</c:v>
                </c:pt>
                <c:pt idx="13">
                  <c:v>103.79798372639929</c:v>
                </c:pt>
                <c:pt idx="14">
                  <c:v>103.90959380817242</c:v>
                </c:pt>
                <c:pt idx="15">
                  <c:v>103.39256162355191</c:v>
                </c:pt>
                <c:pt idx="16">
                  <c:v>104.49812936641526</c:v>
                </c:pt>
                <c:pt idx="17">
                  <c:v>103.31822242208054</c:v>
                </c:pt>
                <c:pt idx="18">
                  <c:v>103.09003955979846</c:v>
                </c:pt>
                <c:pt idx="19">
                  <c:v>103.19688950196782</c:v>
                </c:pt>
                <c:pt idx="20">
                  <c:v>103.00942102523274</c:v>
                </c:pt>
                <c:pt idx="21">
                  <c:v>103.24114867232612</c:v>
                </c:pt>
                <c:pt idx="22">
                  <c:v>102.78893540996951</c:v>
                </c:pt>
              </c:numCache>
            </c:numRef>
          </c:val>
          <c:smooth val="0"/>
          <c:extLst>
            <c:ext xmlns:c16="http://schemas.microsoft.com/office/drawing/2014/chart" uri="{C3380CC4-5D6E-409C-BE32-E72D297353CC}">
              <c16:uniqueId val="{00000000-2964-4AB9-8D5F-8DC395085B93}"/>
            </c:ext>
          </c:extLst>
        </c:ser>
        <c:ser>
          <c:idx val="1"/>
          <c:order val="1"/>
          <c:tx>
            <c:v>Nkrishi NCDEX</c:v>
          </c:tx>
          <c:spPr>
            <a:ln w="28575" cap="rnd">
              <a:solidFill>
                <a:schemeClr val="accent2"/>
              </a:solidFill>
              <a:round/>
            </a:ln>
            <a:effectLst/>
          </c:spPr>
          <c:marker>
            <c:symbol val="none"/>
          </c:marker>
          <c:cat>
            <c:numRef>
              <c:f>Graph!$D$151:$D$173</c:f>
              <c:numCache>
                <c:formatCode>d\-mmm\-yy</c:formatCode>
                <c:ptCount val="23"/>
                <c:pt idx="0">
                  <c:v>44134</c:v>
                </c:pt>
                <c:pt idx="1">
                  <c:v>44137</c:v>
                </c:pt>
                <c:pt idx="2">
                  <c:v>44138</c:v>
                </c:pt>
                <c:pt idx="3">
                  <c:v>44139</c:v>
                </c:pt>
                <c:pt idx="4">
                  <c:v>44140</c:v>
                </c:pt>
                <c:pt idx="5">
                  <c:v>44141</c:v>
                </c:pt>
                <c:pt idx="6">
                  <c:v>44144</c:v>
                </c:pt>
                <c:pt idx="7">
                  <c:v>44145</c:v>
                </c:pt>
                <c:pt idx="8">
                  <c:v>44146</c:v>
                </c:pt>
                <c:pt idx="9">
                  <c:v>44147</c:v>
                </c:pt>
                <c:pt idx="10">
                  <c:v>44148</c:v>
                </c:pt>
                <c:pt idx="11">
                  <c:v>44149</c:v>
                </c:pt>
                <c:pt idx="12">
                  <c:v>44151</c:v>
                </c:pt>
                <c:pt idx="13">
                  <c:v>44152</c:v>
                </c:pt>
                <c:pt idx="14">
                  <c:v>44153</c:v>
                </c:pt>
                <c:pt idx="15">
                  <c:v>44154</c:v>
                </c:pt>
                <c:pt idx="16">
                  <c:v>44155</c:v>
                </c:pt>
                <c:pt idx="17">
                  <c:v>44158</c:v>
                </c:pt>
                <c:pt idx="18">
                  <c:v>44159</c:v>
                </c:pt>
                <c:pt idx="19">
                  <c:v>44160</c:v>
                </c:pt>
                <c:pt idx="20">
                  <c:v>44161</c:v>
                </c:pt>
                <c:pt idx="21">
                  <c:v>44162</c:v>
                </c:pt>
                <c:pt idx="22">
                  <c:v>44165</c:v>
                </c:pt>
              </c:numCache>
            </c:numRef>
          </c:cat>
          <c:val>
            <c:numRef>
              <c:f>Graph!$F$151:$F$173</c:f>
              <c:numCache>
                <c:formatCode>0.00</c:formatCode>
                <c:ptCount val="23"/>
                <c:pt idx="0">
                  <c:v>100</c:v>
                </c:pt>
                <c:pt idx="1">
                  <c:v>99.532937860775561</c:v>
                </c:pt>
                <c:pt idx="2">
                  <c:v>100.3704561241028</c:v>
                </c:pt>
                <c:pt idx="3">
                  <c:v>100.49447376334987</c:v>
                </c:pt>
                <c:pt idx="4">
                  <c:v>100.7720497241539</c:v>
                </c:pt>
                <c:pt idx="5">
                  <c:v>101.28488661434507</c:v>
                </c:pt>
                <c:pt idx="6">
                  <c:v>100.77923529552659</c:v>
                </c:pt>
                <c:pt idx="7">
                  <c:v>100.44843288011008</c:v>
                </c:pt>
                <c:pt idx="8">
                  <c:v>102.04442812166502</c:v>
                </c:pt>
                <c:pt idx="9">
                  <c:v>102.55540208594475</c:v>
                </c:pt>
                <c:pt idx="10">
                  <c:v>102.33690748976056</c:v>
                </c:pt>
                <c:pt idx="11">
                  <c:v>102.70283936522131</c:v>
                </c:pt>
                <c:pt idx="12">
                  <c:v>102.70283936522131</c:v>
                </c:pt>
                <c:pt idx="13">
                  <c:v>101.93318483152497</c:v>
                </c:pt>
                <c:pt idx="14">
                  <c:v>101.91428944013754</c:v>
                </c:pt>
                <c:pt idx="15">
                  <c:v>102.16871189318516</c:v>
                </c:pt>
                <c:pt idx="16">
                  <c:v>102.95353596644605</c:v>
                </c:pt>
                <c:pt idx="17">
                  <c:v>102.11069505765757</c:v>
                </c:pt>
                <c:pt idx="18">
                  <c:v>100.25335792395538</c:v>
                </c:pt>
                <c:pt idx="19">
                  <c:v>100.65894350810241</c:v>
                </c:pt>
                <c:pt idx="20">
                  <c:v>99.164610794857268</c:v>
                </c:pt>
                <c:pt idx="21">
                  <c:v>100.37098838864894</c:v>
                </c:pt>
                <c:pt idx="22">
                  <c:v>100.37098838864894</c:v>
                </c:pt>
              </c:numCache>
            </c:numRef>
          </c:val>
          <c:smooth val="0"/>
          <c:extLst>
            <c:ext xmlns:c16="http://schemas.microsoft.com/office/drawing/2014/chart" uri="{C3380CC4-5D6E-409C-BE32-E72D297353CC}">
              <c16:uniqueId val="{00000001-2964-4AB9-8D5F-8DC395085B93}"/>
            </c:ext>
          </c:extLst>
        </c:ser>
        <c:dLbls>
          <c:showLegendKey val="0"/>
          <c:showVal val="0"/>
          <c:showCatName val="0"/>
          <c:showSerName val="0"/>
          <c:showPercent val="0"/>
          <c:showBubbleSize val="0"/>
        </c:dLbls>
        <c:smooth val="0"/>
        <c:axId val="634245296"/>
        <c:axId val="634249608"/>
      </c:lineChart>
      <c:dateAx>
        <c:axId val="634245296"/>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249608"/>
        <c:crosses val="autoZero"/>
        <c:auto val="1"/>
        <c:lblOffset val="100"/>
        <c:baseTimeUnit val="days"/>
        <c:majorUnit val="2"/>
        <c:majorTimeUnit val="days"/>
      </c:dateAx>
      <c:valAx>
        <c:axId val="634249608"/>
        <c:scaling>
          <c:orientation val="minMax"/>
          <c:max val="106"/>
          <c:min val="97"/>
        </c:scaling>
        <c:delete val="0"/>
        <c:axPos val="l"/>
        <c:majorGridlines>
          <c:spPr>
            <a:ln w="9525" cap="flat" cmpd="sng" algn="ctr">
              <a:solidFill>
                <a:srgbClr val="0070C0"/>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245296"/>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'Turnover charts'!$B$3</c:f>
              <c:strCache>
                <c:ptCount val="1"/>
                <c:pt idx="0">
                  <c:v>MCX Agri Futures (LHS)</c:v>
                </c:pt>
              </c:strCache>
            </c:strRef>
          </c:tx>
          <c:spPr>
            <a:solidFill>
              <a:srgbClr val="0070C0"/>
            </a:solidFill>
            <a:ln>
              <a:solidFill>
                <a:sysClr val="windowText" lastClr="000000"/>
              </a:solidFill>
            </a:ln>
            <a:effectLst/>
          </c:spPr>
          <c:invertIfNegative val="0"/>
          <c:cat>
            <c:numRef>
              <c:f>'Turnover charts'!$A$40:$A$51</c:f>
              <c:numCache>
                <c:formatCode>mmm\-yy</c:formatCode>
                <c:ptCount val="12"/>
                <c:pt idx="0">
                  <c:v>43800</c:v>
                </c:pt>
                <c:pt idx="1">
                  <c:v>43831</c:v>
                </c:pt>
                <c:pt idx="2">
                  <c:v>43862</c:v>
                </c:pt>
                <c:pt idx="3">
                  <c:v>43891</c:v>
                </c:pt>
                <c:pt idx="4">
                  <c:v>43922</c:v>
                </c:pt>
                <c:pt idx="5">
                  <c:v>43952</c:v>
                </c:pt>
                <c:pt idx="6">
                  <c:v>43983</c:v>
                </c:pt>
                <c:pt idx="7">
                  <c:v>44013</c:v>
                </c:pt>
                <c:pt idx="8">
                  <c:v>44044</c:v>
                </c:pt>
                <c:pt idx="9">
                  <c:v>44075</c:v>
                </c:pt>
                <c:pt idx="10">
                  <c:v>44105</c:v>
                </c:pt>
                <c:pt idx="11">
                  <c:v>44136</c:v>
                </c:pt>
              </c:numCache>
            </c:numRef>
          </c:cat>
          <c:val>
            <c:numRef>
              <c:f>'Turnover charts'!$B$40:$B$51</c:f>
              <c:numCache>
                <c:formatCode>#,##0</c:formatCode>
                <c:ptCount val="12"/>
                <c:pt idx="0">
                  <c:v>8603.7552158000017</c:v>
                </c:pt>
                <c:pt idx="1">
                  <c:v>12590.9105948</c:v>
                </c:pt>
                <c:pt idx="2">
                  <c:v>10289.779631199997</c:v>
                </c:pt>
                <c:pt idx="3">
                  <c:v>9969.8466008000014</c:v>
                </c:pt>
                <c:pt idx="4">
                  <c:v>3671.8557304000001</c:v>
                </c:pt>
                <c:pt idx="5">
                  <c:v>4106.3184176000004</c:v>
                </c:pt>
                <c:pt idx="6">
                  <c:v>6367.6581902000007</c:v>
                </c:pt>
                <c:pt idx="7">
                  <c:v>7277.3962512000026</c:v>
                </c:pt>
                <c:pt idx="8">
                  <c:v>5824.4504842000024</c:v>
                </c:pt>
                <c:pt idx="9">
                  <c:v>6838.5318600000001</c:v>
                </c:pt>
                <c:pt idx="10">
                  <c:v>7096.0901250000006</c:v>
                </c:pt>
                <c:pt idx="11">
                  <c:v>10138.218927400003</c:v>
                </c:pt>
              </c:numCache>
            </c:numRef>
          </c:val>
          <c:extLst>
            <c:ext xmlns:c16="http://schemas.microsoft.com/office/drawing/2014/chart" uri="{C3380CC4-5D6E-409C-BE32-E72D297353CC}">
              <c16:uniqueId val="{00000000-0B31-4230-93E1-98A32ABD726A}"/>
            </c:ext>
          </c:extLst>
        </c:ser>
        <c:ser>
          <c:idx val="1"/>
          <c:order val="1"/>
          <c:tx>
            <c:strRef>
              <c:f>'Turnover charts'!$C$3</c:f>
              <c:strCache>
                <c:ptCount val="1"/>
                <c:pt idx="0">
                  <c:v>NCDEX Agri Futures &amp; Options (LHS)</c:v>
                </c:pt>
              </c:strCache>
            </c:strRef>
          </c:tx>
          <c:spPr>
            <a:solidFill>
              <a:srgbClr val="00B050"/>
            </a:solidFill>
            <a:ln>
              <a:solidFill>
                <a:sysClr val="windowText" lastClr="000000"/>
              </a:solidFill>
            </a:ln>
            <a:effectLst/>
          </c:spPr>
          <c:invertIfNegative val="0"/>
          <c:cat>
            <c:numRef>
              <c:f>'Turnover charts'!$A$40:$A$51</c:f>
              <c:numCache>
                <c:formatCode>mmm\-yy</c:formatCode>
                <c:ptCount val="12"/>
                <c:pt idx="0">
                  <c:v>43800</c:v>
                </c:pt>
                <c:pt idx="1">
                  <c:v>43831</c:v>
                </c:pt>
                <c:pt idx="2">
                  <c:v>43862</c:v>
                </c:pt>
                <c:pt idx="3">
                  <c:v>43891</c:v>
                </c:pt>
                <c:pt idx="4">
                  <c:v>43922</c:v>
                </c:pt>
                <c:pt idx="5">
                  <c:v>43952</c:v>
                </c:pt>
                <c:pt idx="6">
                  <c:v>43983</c:v>
                </c:pt>
                <c:pt idx="7">
                  <c:v>44013</c:v>
                </c:pt>
                <c:pt idx="8">
                  <c:v>44044</c:v>
                </c:pt>
                <c:pt idx="9">
                  <c:v>44075</c:v>
                </c:pt>
                <c:pt idx="10">
                  <c:v>44105</c:v>
                </c:pt>
                <c:pt idx="11">
                  <c:v>44136</c:v>
                </c:pt>
              </c:numCache>
            </c:numRef>
          </c:cat>
          <c:val>
            <c:numRef>
              <c:f>'Turnover charts'!$C$40:$C$51</c:f>
              <c:numCache>
                <c:formatCode>#,##0</c:formatCode>
                <c:ptCount val="12"/>
                <c:pt idx="0">
                  <c:v>36254.971464999988</c:v>
                </c:pt>
                <c:pt idx="1">
                  <c:v>37713.501540000019</c:v>
                </c:pt>
                <c:pt idx="2">
                  <c:v>27400.083519999989</c:v>
                </c:pt>
                <c:pt idx="3">
                  <c:v>25485.03999999999</c:v>
                </c:pt>
                <c:pt idx="4">
                  <c:v>12561.501194999999</c:v>
                </c:pt>
                <c:pt idx="5">
                  <c:v>11168.988342500001</c:v>
                </c:pt>
                <c:pt idx="6">
                  <c:v>18922.815102500001</c:v>
                </c:pt>
                <c:pt idx="7">
                  <c:v>18054.253055000005</c:v>
                </c:pt>
                <c:pt idx="8">
                  <c:v>23929.732684999995</c:v>
                </c:pt>
                <c:pt idx="9">
                  <c:v>28599.374342499999</c:v>
                </c:pt>
                <c:pt idx="10">
                  <c:v>32560.999704999991</c:v>
                </c:pt>
                <c:pt idx="11">
                  <c:v>31297.897227500001</c:v>
                </c:pt>
              </c:numCache>
            </c:numRef>
          </c:val>
          <c:extLst>
            <c:ext xmlns:c16="http://schemas.microsoft.com/office/drawing/2014/chart" uri="{C3380CC4-5D6E-409C-BE32-E72D297353CC}">
              <c16:uniqueId val="{00000001-0B31-4230-93E1-98A32ABD726A}"/>
            </c:ext>
          </c:extLst>
        </c:ser>
        <c:dLbls>
          <c:showLegendKey val="0"/>
          <c:showVal val="0"/>
          <c:showCatName val="0"/>
          <c:showSerName val="0"/>
          <c:showPercent val="0"/>
          <c:showBubbleSize val="0"/>
        </c:dLbls>
        <c:gapWidth val="219"/>
        <c:overlap val="-27"/>
        <c:axId val="634242944"/>
        <c:axId val="634243336"/>
      </c:barChart>
      <c:lineChart>
        <c:grouping val="standard"/>
        <c:varyColors val="0"/>
        <c:ser>
          <c:idx val="2"/>
          <c:order val="2"/>
          <c:tx>
            <c:strRef>
              <c:f>'Turnover charts'!$D$3</c:f>
              <c:strCache>
                <c:ptCount val="1"/>
                <c:pt idx="0">
                  <c:v>ICEX Agri Futures (RHS)</c:v>
                </c:pt>
              </c:strCache>
            </c:strRef>
          </c:tx>
          <c:spPr>
            <a:ln w="28575" cap="rnd">
              <a:solidFill>
                <a:srgbClr val="FF0000"/>
              </a:solidFill>
              <a:round/>
            </a:ln>
            <a:effectLst/>
          </c:spPr>
          <c:marker>
            <c:symbol val="none"/>
          </c:marker>
          <c:cat>
            <c:numRef>
              <c:f>'Turnover charts'!$A$40:$A$51</c:f>
              <c:numCache>
                <c:formatCode>mmm\-yy</c:formatCode>
                <c:ptCount val="12"/>
                <c:pt idx="0">
                  <c:v>43800</c:v>
                </c:pt>
                <c:pt idx="1">
                  <c:v>43831</c:v>
                </c:pt>
                <c:pt idx="2">
                  <c:v>43862</c:v>
                </c:pt>
                <c:pt idx="3">
                  <c:v>43891</c:v>
                </c:pt>
                <c:pt idx="4">
                  <c:v>43922</c:v>
                </c:pt>
                <c:pt idx="5">
                  <c:v>43952</c:v>
                </c:pt>
                <c:pt idx="6">
                  <c:v>43983</c:v>
                </c:pt>
                <c:pt idx="7">
                  <c:v>44013</c:v>
                </c:pt>
                <c:pt idx="8">
                  <c:v>44044</c:v>
                </c:pt>
                <c:pt idx="9">
                  <c:v>44075</c:v>
                </c:pt>
                <c:pt idx="10">
                  <c:v>44105</c:v>
                </c:pt>
                <c:pt idx="11">
                  <c:v>44136</c:v>
                </c:pt>
              </c:numCache>
            </c:numRef>
          </c:cat>
          <c:val>
            <c:numRef>
              <c:f>'Turnover charts'!$D$40:$D$51</c:f>
              <c:numCache>
                <c:formatCode>#,##0</c:formatCode>
                <c:ptCount val="12"/>
                <c:pt idx="0">
                  <c:v>289.63</c:v>
                </c:pt>
                <c:pt idx="1">
                  <c:v>428.81</c:v>
                </c:pt>
                <c:pt idx="2">
                  <c:v>391.17</c:v>
                </c:pt>
                <c:pt idx="3">
                  <c:v>432.61574500000017</c:v>
                </c:pt>
                <c:pt idx="4">
                  <c:v>213.02189999999999</c:v>
                </c:pt>
                <c:pt idx="5">
                  <c:v>53.65</c:v>
                </c:pt>
                <c:pt idx="6">
                  <c:v>16.16</c:v>
                </c:pt>
                <c:pt idx="7">
                  <c:v>22.481598000000002</c:v>
                </c:pt>
                <c:pt idx="8">
                  <c:v>2.2767149999999998</c:v>
                </c:pt>
                <c:pt idx="9" formatCode="#,##0.0">
                  <c:v>4.0599999999999997E-2</c:v>
                </c:pt>
                <c:pt idx="10" formatCode="#,##0.0">
                  <c:v>0</c:v>
                </c:pt>
                <c:pt idx="11" formatCode="#,##0.0">
                  <c:v>0</c:v>
                </c:pt>
              </c:numCache>
            </c:numRef>
          </c:val>
          <c:smooth val="0"/>
          <c:extLst>
            <c:ext xmlns:c16="http://schemas.microsoft.com/office/drawing/2014/chart" uri="{C3380CC4-5D6E-409C-BE32-E72D297353CC}">
              <c16:uniqueId val="{00000002-0B31-4230-93E1-98A32ABD726A}"/>
            </c:ext>
          </c:extLst>
        </c:ser>
        <c:ser>
          <c:idx val="3"/>
          <c:order val="3"/>
          <c:tx>
            <c:strRef>
              <c:f>'Turnover charts'!$E$3</c:f>
              <c:strCache>
                <c:ptCount val="1"/>
                <c:pt idx="0">
                  <c:v>BSE Agri Futures (RHS)</c:v>
                </c:pt>
              </c:strCache>
            </c:strRef>
          </c:tx>
          <c:spPr>
            <a:ln w="28575" cap="rnd">
              <a:solidFill>
                <a:srgbClr val="002060"/>
              </a:solidFill>
              <a:round/>
            </a:ln>
            <a:effectLst/>
          </c:spPr>
          <c:marker>
            <c:symbol val="none"/>
          </c:marker>
          <c:cat>
            <c:numRef>
              <c:f>'Turnover charts'!$A$40:$A$51</c:f>
              <c:numCache>
                <c:formatCode>mmm\-yy</c:formatCode>
                <c:ptCount val="12"/>
                <c:pt idx="0">
                  <c:v>43800</c:v>
                </c:pt>
                <c:pt idx="1">
                  <c:v>43831</c:v>
                </c:pt>
                <c:pt idx="2">
                  <c:v>43862</c:v>
                </c:pt>
                <c:pt idx="3">
                  <c:v>43891</c:v>
                </c:pt>
                <c:pt idx="4">
                  <c:v>43922</c:v>
                </c:pt>
                <c:pt idx="5">
                  <c:v>43952</c:v>
                </c:pt>
                <c:pt idx="6">
                  <c:v>43983</c:v>
                </c:pt>
                <c:pt idx="7">
                  <c:v>44013</c:v>
                </c:pt>
                <c:pt idx="8">
                  <c:v>44044</c:v>
                </c:pt>
                <c:pt idx="9">
                  <c:v>44075</c:v>
                </c:pt>
                <c:pt idx="10">
                  <c:v>44105</c:v>
                </c:pt>
                <c:pt idx="11">
                  <c:v>44136</c:v>
                </c:pt>
              </c:numCache>
            </c:numRef>
          </c:cat>
          <c:val>
            <c:numRef>
              <c:f>'Turnover charts'!$E$40:$E$51</c:f>
              <c:numCache>
                <c:formatCode>#,##0</c:formatCode>
                <c:ptCount val="12"/>
                <c:pt idx="0">
                  <c:v>3636.65</c:v>
                </c:pt>
                <c:pt idx="1">
                  <c:v>1826.49</c:v>
                </c:pt>
                <c:pt idx="2">
                  <c:v>1729.52</c:v>
                </c:pt>
                <c:pt idx="3">
                  <c:v>2006.22</c:v>
                </c:pt>
                <c:pt idx="4">
                  <c:v>1001.73313</c:v>
                </c:pt>
                <c:pt idx="5">
                  <c:v>847.49</c:v>
                </c:pt>
                <c:pt idx="6">
                  <c:v>1565.29</c:v>
                </c:pt>
                <c:pt idx="7">
                  <c:v>323.74</c:v>
                </c:pt>
                <c:pt idx="8">
                  <c:v>153.78</c:v>
                </c:pt>
                <c:pt idx="9">
                  <c:v>181.2</c:v>
                </c:pt>
                <c:pt idx="10">
                  <c:v>236.58</c:v>
                </c:pt>
                <c:pt idx="11">
                  <c:v>165.86</c:v>
                </c:pt>
              </c:numCache>
            </c:numRef>
          </c:val>
          <c:smooth val="0"/>
          <c:extLst>
            <c:ext xmlns:c16="http://schemas.microsoft.com/office/drawing/2014/chart" uri="{C3380CC4-5D6E-409C-BE32-E72D297353CC}">
              <c16:uniqueId val="{00000003-0B31-4230-93E1-98A32ABD726A}"/>
            </c:ext>
          </c:extLst>
        </c:ser>
        <c:dLbls>
          <c:showLegendKey val="0"/>
          <c:showVal val="0"/>
          <c:showCatName val="0"/>
          <c:showSerName val="0"/>
          <c:showPercent val="0"/>
          <c:showBubbleSize val="0"/>
        </c:dLbls>
        <c:marker val="1"/>
        <c:smooth val="0"/>
        <c:axId val="634244120"/>
        <c:axId val="634243728"/>
      </c:lineChart>
      <c:dateAx>
        <c:axId val="634242944"/>
        <c:scaling>
          <c:orientation val="minMax"/>
          <c:max val="44136"/>
          <c:min val="43800"/>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34243336"/>
        <c:crosses val="autoZero"/>
        <c:auto val="0"/>
        <c:lblOffset val="100"/>
        <c:baseTimeUnit val="months"/>
        <c:majorUnit val="1"/>
        <c:majorTimeUnit val="months"/>
      </c:dateAx>
      <c:valAx>
        <c:axId val="634243336"/>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34242944"/>
        <c:crosses val="autoZero"/>
        <c:crossBetween val="between"/>
      </c:valAx>
      <c:valAx>
        <c:axId val="634243728"/>
        <c:scaling>
          <c:orientation val="minMax"/>
          <c:max val="5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34244120"/>
        <c:crosses val="max"/>
        <c:crossBetween val="between"/>
        <c:majorUnit val="1000"/>
      </c:valAx>
      <c:dateAx>
        <c:axId val="634244120"/>
        <c:scaling>
          <c:orientation val="minMax"/>
        </c:scaling>
        <c:delete val="1"/>
        <c:axPos val="b"/>
        <c:numFmt formatCode="mmm\-yy" sourceLinked="1"/>
        <c:majorTickMark val="out"/>
        <c:minorTickMark val="none"/>
        <c:tickLblPos val="nextTo"/>
        <c:crossAx val="634243728"/>
        <c:crosses val="autoZero"/>
        <c:auto val="1"/>
        <c:lblOffset val="100"/>
        <c:baseTimeUnit val="months"/>
      </c:dateAx>
      <c:spPr>
        <a:noFill/>
        <a:ln>
          <a:noFill/>
        </a:ln>
        <a:effectLst/>
      </c:spPr>
    </c:plotArea>
    <c:legend>
      <c:legendPos val="b"/>
      <c:layout>
        <c:manualLayout>
          <c:xMode val="edge"/>
          <c:yMode val="edge"/>
          <c:x val="0.11059526758615527"/>
          <c:y val="0.81530766987459902"/>
          <c:w val="0.83436486736736781"/>
          <c:h val="0.184692330125400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3940947124360035"/>
          <c:h val="0.72457814568050793"/>
        </c:manualLayout>
      </c:layout>
      <c:barChart>
        <c:barDir val="col"/>
        <c:grouping val="stacked"/>
        <c:varyColors val="0"/>
        <c:ser>
          <c:idx val="0"/>
          <c:order val="0"/>
          <c:tx>
            <c:v>MCX Fut (RHS)</c:v>
          </c:tx>
          <c:spPr>
            <a:solidFill>
              <a:srgbClr val="92D050"/>
            </a:solidFill>
            <a:ln>
              <a:solidFill>
                <a:sysClr val="windowText" lastClr="000000"/>
              </a:solidFill>
            </a:ln>
            <a:effectLst/>
          </c:spPr>
          <c:invertIfNegative val="0"/>
          <c:cat>
            <c:numRef>
              <c:f>'Turnover charts'!$I$39:$I$51</c:f>
              <c:numCache>
                <c:formatCode>mmm\-yy</c:formatCode>
                <c:ptCount val="13"/>
                <c:pt idx="0">
                  <c:v>43770</c:v>
                </c:pt>
                <c:pt idx="1">
                  <c:v>43800</c:v>
                </c:pt>
                <c:pt idx="2">
                  <c:v>43831</c:v>
                </c:pt>
                <c:pt idx="3">
                  <c:v>43862</c:v>
                </c:pt>
                <c:pt idx="4">
                  <c:v>43891</c:v>
                </c:pt>
                <c:pt idx="5">
                  <c:v>43922</c:v>
                </c:pt>
                <c:pt idx="6">
                  <c:v>43952</c:v>
                </c:pt>
                <c:pt idx="7">
                  <c:v>43983</c:v>
                </c:pt>
                <c:pt idx="8">
                  <c:v>44013</c:v>
                </c:pt>
                <c:pt idx="9">
                  <c:v>44044</c:v>
                </c:pt>
                <c:pt idx="10">
                  <c:v>44075</c:v>
                </c:pt>
                <c:pt idx="11">
                  <c:v>44105</c:v>
                </c:pt>
                <c:pt idx="12">
                  <c:v>44136</c:v>
                </c:pt>
              </c:numCache>
            </c:numRef>
          </c:cat>
          <c:val>
            <c:numRef>
              <c:f>'Turnover charts'!$J$4:$J$51</c:f>
              <c:numCache>
                <c:formatCode>_(* #,##0_);_(* \(#,##0\);_(* "-"??_);_(@_)</c:formatCode>
                <c:ptCount val="33"/>
                <c:pt idx="0">
                  <c:v>502333.84615715011</c:v>
                </c:pt>
                <c:pt idx="1">
                  <c:v>554481.07702095003</c:v>
                </c:pt>
                <c:pt idx="2">
                  <c:v>514263.34081070009</c:v>
                </c:pt>
                <c:pt idx="3">
                  <c:v>488935.25250099995</c:v>
                </c:pt>
                <c:pt idx="4">
                  <c:v>510099.26815124979</c:v>
                </c:pt>
                <c:pt idx="5">
                  <c:v>503460.0791320501</c:v>
                </c:pt>
                <c:pt idx="6">
                  <c:v>540136.1876240999</c:v>
                </c:pt>
                <c:pt idx="7">
                  <c:v>602393.52301564987</c:v>
                </c:pt>
                <c:pt idx="8">
                  <c:v>560373.39216535003</c:v>
                </c:pt>
                <c:pt idx="9">
                  <c:v>515431.74569595006</c:v>
                </c:pt>
                <c:pt idx="10">
                  <c:v>600469.55308069987</c:v>
                </c:pt>
                <c:pt idx="11">
                  <c:v>532389.84253700008</c:v>
                </c:pt>
                <c:pt idx="12">
                  <c:v>567761.35483295005</c:v>
                </c:pt>
                <c:pt idx="13">
                  <c:v>516307.34400520008</c:v>
                </c:pt>
                <c:pt idx="14">
                  <c:v>615537.92995134997</c:v>
                </c:pt>
                <c:pt idx="15">
                  <c:v>569240.9336420499</c:v>
                </c:pt>
                <c:pt idx="16">
                  <c:v>716525.07049199997</c:v>
                </c:pt>
                <c:pt idx="17">
                  <c:v>728211.15374000021</c:v>
                </c:pt>
                <c:pt idx="18">
                  <c:v>781695.78193319985</c:v>
                </c:pt>
                <c:pt idx="19">
                  <c:v>668208.51480580005</c:v>
                </c:pt>
                <c:pt idx="20">
                  <c:v>672255.75945409993</c:v>
                </c:pt>
                <c:pt idx="21">
                  <c:v>644422.79156839987</c:v>
                </c:pt>
                <c:pt idx="22">
                  <c:v>827755.84935100004</c:v>
                </c:pt>
                <c:pt idx="23">
                  <c:v>781969.06022450014</c:v>
                </c:pt>
                <c:pt idx="24">
                  <c:v>774725.27535569982</c:v>
                </c:pt>
                <c:pt idx="25">
                  <c:v>278174.58910059999</c:v>
                </c:pt>
                <c:pt idx="26">
                  <c:v>494950.96162219997</c:v>
                </c:pt>
                <c:pt idx="27">
                  <c:v>623568.06468549999</c:v>
                </c:pt>
                <c:pt idx="28">
                  <c:v>846844.32924410037</c:v>
                </c:pt>
                <c:pt idx="29">
                  <c:v>904796.19616849977</c:v>
                </c:pt>
                <c:pt idx="30">
                  <c:v>745965.04735440004</c:v>
                </c:pt>
                <c:pt idx="31">
                  <c:v>691669.15749930032</c:v>
                </c:pt>
                <c:pt idx="32">
                  <c:v>722827.83065649983</c:v>
                </c:pt>
              </c:numCache>
            </c:numRef>
          </c:val>
          <c:extLst xmlns:c15="http://schemas.microsoft.com/office/drawing/2012/chart">
            <c:ext xmlns:c16="http://schemas.microsoft.com/office/drawing/2014/chart" uri="{C3380CC4-5D6E-409C-BE32-E72D297353CC}">
              <c16:uniqueId val="{00000000-EDB5-42A0-AC1B-AEFA007CB56A}"/>
            </c:ext>
          </c:extLst>
        </c:ser>
        <c:dLbls>
          <c:showLegendKey val="0"/>
          <c:showVal val="0"/>
          <c:showCatName val="0"/>
          <c:showSerName val="0"/>
          <c:showPercent val="0"/>
          <c:showBubbleSize val="0"/>
        </c:dLbls>
        <c:gapWidth val="219"/>
        <c:overlap val="100"/>
        <c:axId val="1038937024"/>
        <c:axId val="1038935064"/>
        <c:extLst>
          <c:ext xmlns:c15="http://schemas.microsoft.com/office/drawing/2012/chart" uri="{02D57815-91ED-43cb-92C2-25804820EDAC}">
            <c15:filteredBarSeries>
              <c15:ser>
                <c:idx val="1"/>
                <c:order val="1"/>
                <c:spPr>
                  <a:solidFill>
                    <a:srgbClr val="92D050"/>
                  </a:solidFill>
                  <a:ln w="12700">
                    <a:solidFill>
                      <a:schemeClr val="tx1">
                        <a:lumMod val="75000"/>
                        <a:lumOff val="25000"/>
                      </a:schemeClr>
                    </a:solidFill>
                  </a:ln>
                  <a:effectLst/>
                </c:spPr>
                <c:invertIfNegative val="0"/>
                <c:cat>
                  <c:numRef>
                    <c:extLst>
                      <c:ext uri="{02D57815-91ED-43cb-92C2-25804820EDAC}">
                        <c15:formulaRef>
                          <c15:sqref>'Turnover charts'!$I$39:$I$51</c15:sqref>
                        </c15:formulaRef>
                      </c:ext>
                    </c:extLst>
                    <c:numCache>
                      <c:formatCode>mmm\-yy</c:formatCode>
                      <c:ptCount val="13"/>
                      <c:pt idx="0">
                        <c:v>43770</c:v>
                      </c:pt>
                      <c:pt idx="1">
                        <c:v>43800</c:v>
                      </c:pt>
                      <c:pt idx="2">
                        <c:v>43831</c:v>
                      </c:pt>
                      <c:pt idx="3">
                        <c:v>43862</c:v>
                      </c:pt>
                      <c:pt idx="4">
                        <c:v>43891</c:v>
                      </c:pt>
                      <c:pt idx="5">
                        <c:v>43922</c:v>
                      </c:pt>
                      <c:pt idx="6">
                        <c:v>43952</c:v>
                      </c:pt>
                      <c:pt idx="7">
                        <c:v>43983</c:v>
                      </c:pt>
                      <c:pt idx="8">
                        <c:v>44013</c:v>
                      </c:pt>
                      <c:pt idx="9">
                        <c:v>44044</c:v>
                      </c:pt>
                      <c:pt idx="10">
                        <c:v>44075</c:v>
                      </c:pt>
                      <c:pt idx="11">
                        <c:v>44105</c:v>
                      </c:pt>
                      <c:pt idx="12">
                        <c:v>44136</c:v>
                      </c:pt>
                    </c:numCache>
                  </c:numRef>
                </c:cat>
                <c:val>
                  <c:numRef>
                    <c:extLst>
                      <c:ext uri="{02D57815-91ED-43cb-92C2-25804820EDAC}">
                        <c15:formulaRef>
                          <c15:sqref>'Turnover charts'!$K$4:$K$50</c15:sqref>
                        </c15:formulaRef>
                      </c:ext>
                    </c:extLst>
                    <c:numCache>
                      <c:formatCode>_(* #,##0_);_(* \(#,##0\);_(* "-"??_);_(@_)</c:formatCode>
                      <c:ptCount val="32"/>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pt idx="30">
                        <c:v>26027.212639000005</c:v>
                      </c:pt>
                      <c:pt idx="31">
                        <c:v>9915.5255409999991</c:v>
                      </c:pt>
                    </c:numCache>
                  </c:numRef>
                </c:val>
                <c:extLst>
                  <c:ext xmlns:c16="http://schemas.microsoft.com/office/drawing/2014/chart" uri="{C3380CC4-5D6E-409C-BE32-E72D297353CC}">
                    <c16:uniqueId val="{00000004-EDB5-42A0-AC1B-AEFA007CB56A}"/>
                  </c:ext>
                </c:extLst>
              </c15:ser>
            </c15:filteredBarSeries>
          </c:ext>
        </c:extLst>
      </c:barChart>
      <c:lineChart>
        <c:grouping val="standard"/>
        <c:varyColors val="0"/>
        <c:ser>
          <c:idx val="2"/>
          <c:order val="2"/>
          <c:tx>
            <c:v>BSE Fut (LHS)</c:v>
          </c:tx>
          <c:spPr>
            <a:ln w="19050" cap="rnd">
              <a:solidFill>
                <a:srgbClr val="7030A0"/>
              </a:solidFill>
              <a:prstDash val="dash"/>
              <a:round/>
            </a:ln>
            <a:effectLst/>
          </c:spPr>
          <c:marker>
            <c:symbol val="diamond"/>
            <c:size val="5"/>
            <c:spPr>
              <a:solidFill>
                <a:srgbClr val="7030A0"/>
              </a:solidFill>
              <a:ln w="19050">
                <a:solidFill>
                  <a:srgbClr val="7030A0"/>
                </a:solidFill>
                <a:prstDash val="dash"/>
              </a:ln>
              <a:effectLst/>
            </c:spPr>
          </c:marker>
          <c:cat>
            <c:numRef>
              <c:f>'Turnover charts'!$I$4:$I$51</c:f>
              <c:numCache>
                <c:formatCode>mmm\-yy</c:formatCode>
                <c:ptCount val="33"/>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numCache>
            </c:numRef>
          </c:cat>
          <c:val>
            <c:numRef>
              <c:f>'Turnover charts'!$L$4:$L$51</c:f>
              <c:numCache>
                <c:formatCode>General</c:formatCode>
                <c:ptCount val="33"/>
                <c:pt idx="7" formatCode="_(* #,##0_);_(* \(#,##0\);_(* &quot;-&quot;??_);_(@_)">
                  <c:v>7049.36</c:v>
                </c:pt>
                <c:pt idx="8" formatCode="_(* #,##0_);_(* \(#,##0\);_(* &quot;-&quot;??_);_(@_)">
                  <c:v>7228.18</c:v>
                </c:pt>
                <c:pt idx="9" formatCode="_(* #,##0_);_(* \(#,##0\);_(* &quot;-&quot;??_);_(@_)">
                  <c:v>3754.7995000000001</c:v>
                </c:pt>
                <c:pt idx="10" formatCode="_(* #,##0_);_(* \(#,##0\);_(* &quot;-&quot;??_);_(@_)">
                  <c:v>6538.5090380000001</c:v>
                </c:pt>
                <c:pt idx="11" formatCode="_(* #,##0_);_(* \(#,##0\);_(* &quot;-&quot;??_);_(@_)">
                  <c:v>1990.250556</c:v>
                </c:pt>
                <c:pt idx="12" formatCode="_(* #,##0_);_(* \(#,##0\);_(* &quot;-&quot;??_);_(@_)">
                  <c:v>1523.74</c:v>
                </c:pt>
                <c:pt idx="13" formatCode="_(* #,##0_);_(* \(#,##0\);_(* &quot;-&quot;??_);_(@_)">
                  <c:v>2218.23</c:v>
                </c:pt>
                <c:pt idx="14" formatCode="_(* #,##0_);_(* \(#,##0\);_(* &quot;-&quot;??_);_(@_)">
                  <c:v>2157.7899499999999</c:v>
                </c:pt>
                <c:pt idx="15" formatCode="_(* #,##0_);_(* \(#,##0\);_(* &quot;-&quot;??_);_(@_)">
                  <c:v>1756.83</c:v>
                </c:pt>
                <c:pt idx="16" formatCode="_(* #,##0_);_(* \(#,##0\);_(* &quot;-&quot;??_);_(@_)">
                  <c:v>713.38525000000004</c:v>
                </c:pt>
                <c:pt idx="17" formatCode="_(* #,##0_);_(* \(#,##0\);_(* &quot;-&quot;??_);_(@_)">
                  <c:v>521.28</c:v>
                </c:pt>
                <c:pt idx="18" formatCode="_(* #,##0_);_(* \(#,##0\);_(* &quot;-&quot;??_);_(@_)">
                  <c:v>523.60118499999999</c:v>
                </c:pt>
                <c:pt idx="19" formatCode="_(* #,##0_);_(* \(#,##0\);_(* &quot;-&quot;??_);_(@_)">
                  <c:v>317.45999999999998</c:v>
                </c:pt>
                <c:pt idx="20" formatCode="_(* #,##0_);_(* \(#,##0\);_(* &quot;-&quot;??_);_(@_)">
                  <c:v>102.15</c:v>
                </c:pt>
                <c:pt idx="21" formatCode="_(* #,##0_);_(* \(#,##0\);_(* &quot;-&quot;??_);_(@_)">
                  <c:v>49.92</c:v>
                </c:pt>
                <c:pt idx="22" formatCode="_(* #,##0_);_(* \(#,##0\);_(* &quot;-&quot;??_);_(@_)">
                  <c:v>506.52000000000004</c:v>
                </c:pt>
                <c:pt idx="23" formatCode="_(* #,##0_);_(* \(#,##0\);_(* &quot;-&quot;??_);_(@_)">
                  <c:v>995.73</c:v>
                </c:pt>
                <c:pt idx="24" formatCode="_(* #,##0_);_(* \(#,##0\);_(* &quot;-&quot;??_);_(@_)">
                  <c:v>259.89</c:v>
                </c:pt>
                <c:pt idx="25" formatCode="0.00">
                  <c:v>0</c:v>
                </c:pt>
                <c:pt idx="26" formatCode="_(* #,##0_);_(* \(#,##0\);_(* &quot;-&quot;??_);_(@_)">
                  <c:v>0.57201000000000002</c:v>
                </c:pt>
                <c:pt idx="27" formatCode="_(* #,##0_);_(* \(#,##0\);_(* &quot;-&quot;??_);_(@_)">
                  <c:v>18.64</c:v>
                </c:pt>
                <c:pt idx="28" formatCode="0.00">
                  <c:v>0</c:v>
                </c:pt>
                <c:pt idx="29" formatCode="0.00">
                  <c:v>0</c:v>
                </c:pt>
                <c:pt idx="30" formatCode="_(* #,##0_);_(* \(#,##0\);_(* &quot;-&quot;??_);_(@_)">
                  <c:v>4.01</c:v>
                </c:pt>
                <c:pt idx="31" formatCode="_(* #,##0_);_(* \(#,##0\);_(* &quot;-&quot;??_);_(@_)">
                  <c:v>11.15</c:v>
                </c:pt>
                <c:pt idx="32" formatCode="_(* #,##0_);_(* \(#,##0\);_(* &quot;-&quot;??_);_(@_)">
                  <c:v>10.53</c:v>
                </c:pt>
              </c:numCache>
            </c:numRef>
          </c:val>
          <c:smooth val="0"/>
          <c:extLst>
            <c:ext xmlns:c16="http://schemas.microsoft.com/office/drawing/2014/chart" uri="{C3380CC4-5D6E-409C-BE32-E72D297353CC}">
              <c16:uniqueId val="{00000001-EDB5-42A0-AC1B-AEFA007CB56A}"/>
            </c:ext>
          </c:extLst>
        </c:ser>
        <c:ser>
          <c:idx val="4"/>
          <c:order val="4"/>
          <c:tx>
            <c:v>NSE Fut (LHS)</c:v>
          </c:tx>
          <c:spPr>
            <a:ln w="19050" cap="rnd">
              <a:solidFill>
                <a:srgbClr val="C0504D">
                  <a:lumMod val="75000"/>
                </a:srgbClr>
              </a:solidFill>
              <a:prstDash val="sysDash"/>
              <a:round/>
            </a:ln>
            <a:effectLst/>
          </c:spPr>
          <c:marker>
            <c:symbol val="none"/>
          </c:marker>
          <c:cat>
            <c:numRef>
              <c:f>'Turnover charts'!$I$4:$I$51</c:f>
              <c:numCache>
                <c:formatCode>mmm\-yy</c:formatCode>
                <c:ptCount val="33"/>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numCache>
            </c:numRef>
          </c:cat>
          <c:val>
            <c:numRef>
              <c:f>'Turnover charts'!$N$4:$N$51</c:f>
              <c:numCache>
                <c:formatCode>General</c:formatCode>
                <c:ptCount val="33"/>
                <c:pt idx="7" formatCode="_(* #,##0_);_(* \(#,##0\);_(* &quot;-&quot;??_);_(@_)">
                  <c:v>696</c:v>
                </c:pt>
                <c:pt idx="8" formatCode="_(* #,##0_);_(* \(#,##0\);_(* &quot;-&quot;??_);_(@_)">
                  <c:v>838</c:v>
                </c:pt>
                <c:pt idx="9" formatCode="_(* #,##0_);_(* \(#,##0\);_(* &quot;-&quot;??_);_(@_)">
                  <c:v>532.61176099999989</c:v>
                </c:pt>
                <c:pt idx="10" formatCode="_(* #,##0_);_(* \(#,##0\);_(* &quot;-&quot;??_);_(@_)">
                  <c:v>448.81896000000006</c:v>
                </c:pt>
                <c:pt idx="11" formatCode="_(* #,##0_);_(* \(#,##0\);_(* &quot;-&quot;??_);_(@_)">
                  <c:v>498.68747400000018</c:v>
                </c:pt>
                <c:pt idx="12" formatCode="_(* #,##0_);_(* \(#,##0\);_(* &quot;-&quot;??_);_(@_)">
                  <c:v>429.59991599999989</c:v>
                </c:pt>
                <c:pt idx="13" formatCode="_ * #,##0_ ;_ * \-#,##0_ ;_ * &quot;-&quot;??_ ;_ @_ ">
                  <c:v>489.78634199999982</c:v>
                </c:pt>
                <c:pt idx="14" formatCode="_ * #,##0_ ;_ * \-#,##0_ ;_ * &quot;-&quot;??_ ;_ @_ ">
                  <c:v>442.31177699999989</c:v>
                </c:pt>
                <c:pt idx="15" formatCode="_ * #,##0_ ;_ * \-#,##0_ ;_ * &quot;-&quot;??_ ;_ @_ ">
                  <c:v>433.71475299999997</c:v>
                </c:pt>
                <c:pt idx="16" formatCode="_ * #,##0_ ;_ * \-#,##0_ ;_ * &quot;-&quot;??_ ;_ @_ ">
                  <c:v>503.29481899999996</c:v>
                </c:pt>
                <c:pt idx="17" formatCode="_ * #,##0_ ;_ * \-#,##0_ ;_ * &quot;-&quot;??_ ;_ @_ ">
                  <c:v>1488.9719589999997</c:v>
                </c:pt>
                <c:pt idx="18" formatCode="_ * #,##0_ ;_ * \-#,##0_ ;_ * &quot;-&quot;??_ ;_ @_ ">
                  <c:v>935.04276299999981</c:v>
                </c:pt>
                <c:pt idx="19" formatCode="_ * #,##0_ ;_ * \-#,##0_ ;_ * &quot;-&quot;??_ ;_ @_ ">
                  <c:v>866.89360199999999</c:v>
                </c:pt>
                <c:pt idx="20" formatCode="_ * #,##0_ ;_ * \-#,##0_ ;_ * &quot;-&quot;??_ ;_ @_ ">
                  <c:v>721.01195100000018</c:v>
                </c:pt>
                <c:pt idx="21" formatCode="_ * #,##0_ ;_ * \-#,##0_ ;_ * &quot;-&quot;??_ ;_ @_ ">
                  <c:v>118.52533</c:v>
                </c:pt>
                <c:pt idx="22" formatCode="_ * #,##0_ ;_ * \-#,##0_ ;_ * &quot;-&quot;??_ ;_ @_ ">
                  <c:v>112.63363</c:v>
                </c:pt>
                <c:pt idx="23" formatCode="_ * #,##0_ ;_ * \-#,##0_ ;_ * &quot;-&quot;??_ ;_ @_ ">
                  <c:v>157.351113</c:v>
                </c:pt>
                <c:pt idx="24" formatCode="_(* #,##0_);_(* \(#,##0\);_(* &quot;-&quot;??_);_(@_)">
                  <c:v>92.761235999999997</c:v>
                </c:pt>
                <c:pt idx="25" formatCode="_(* #,##0_);_(* \(#,##0\);_(* &quot;-&quot;??_);_(@_)">
                  <c:v>57.360366999999997</c:v>
                </c:pt>
                <c:pt idx="26" formatCode="_(* #,##0_);_(* \(#,##0\);_(* &quot;-&quot;??_);_(@_)">
                  <c:v>76.517431000000016</c:v>
                </c:pt>
                <c:pt idx="27" formatCode="_(* #,##0_);_(* \(#,##0\);_(* &quot;-&quot;??_);_(@_)">
                  <c:v>209.17937999999998</c:v>
                </c:pt>
                <c:pt idx="28" formatCode="_(* #,##0_);_(* \(#,##0\);_(* &quot;-&quot;??_);_(@_)">
                  <c:v>45.493170000000013</c:v>
                </c:pt>
                <c:pt idx="29" formatCode="_(* #,##0_);_(* \(#,##0\);_(* &quot;-&quot;??_);_(@_)">
                  <c:v>92.012484999999998</c:v>
                </c:pt>
                <c:pt idx="30" formatCode="_(* #,##0_);_(* \(#,##0\);_(* &quot;-&quot;??_);_(@_)">
                  <c:v>65.526607000000013</c:v>
                </c:pt>
                <c:pt idx="31" formatCode="_(* #,##0_);_(* \(#,##0\);_(* &quot;-&quot;??_);_(@_)">
                  <c:v>14.122890999999999</c:v>
                </c:pt>
                <c:pt idx="32" formatCode="_(* #,##0_);_(* \(#,##0\);_(* &quot;-&quot;??_);_(@_)">
                  <c:v>18.669679000000002</c:v>
                </c:pt>
              </c:numCache>
            </c:numRef>
          </c:val>
          <c:smooth val="0"/>
          <c:extLst>
            <c:ext xmlns:c16="http://schemas.microsoft.com/office/drawing/2014/chart" uri="{C3380CC4-5D6E-409C-BE32-E72D297353CC}">
              <c16:uniqueId val="{00000002-EDB5-42A0-AC1B-AEFA007CB56A}"/>
            </c:ext>
          </c:extLst>
        </c:ser>
        <c:ser>
          <c:idx val="6"/>
          <c:order val="6"/>
          <c:tx>
            <c:v>ICEX Fut (LHS)</c:v>
          </c:tx>
          <c:spPr>
            <a:ln w="19050" cap="rnd">
              <a:solidFill>
                <a:srgbClr val="FF3399"/>
              </a:solidFill>
              <a:round/>
            </a:ln>
            <a:effectLst/>
          </c:spPr>
          <c:marker>
            <c:symbol val="none"/>
          </c:marker>
          <c:cat>
            <c:numRef>
              <c:f>'Turnover charts'!$I$4:$I$51</c:f>
              <c:numCache>
                <c:formatCode>mmm\-yy</c:formatCode>
                <c:ptCount val="33"/>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numCache>
            </c:numRef>
          </c:cat>
          <c:val>
            <c:numRef>
              <c:f>'Turnover charts'!$P$4:$P$51</c:f>
              <c:numCache>
                <c:formatCode>_(* #,##0_);_(* \(#,##0\);_(* "-"??_);_(@_)</c:formatCode>
                <c:ptCount val="33"/>
                <c:pt idx="0">
                  <c:v>416.07</c:v>
                </c:pt>
                <c:pt idx="1">
                  <c:v>479.26</c:v>
                </c:pt>
                <c:pt idx="2">
                  <c:v>362.4169</c:v>
                </c:pt>
                <c:pt idx="3">
                  <c:v>294.87927165000002</c:v>
                </c:pt>
                <c:pt idx="4">
                  <c:v>465.09</c:v>
                </c:pt>
                <c:pt idx="5">
                  <c:v>432.48</c:v>
                </c:pt>
                <c:pt idx="6">
                  <c:v>931.1400000000001</c:v>
                </c:pt>
                <c:pt idx="7">
                  <c:v>1605.41</c:v>
                </c:pt>
                <c:pt idx="8">
                  <c:v>2282</c:v>
                </c:pt>
                <c:pt idx="9">
                  <c:v>2864.81</c:v>
                </c:pt>
                <c:pt idx="10">
                  <c:v>3465.17</c:v>
                </c:pt>
                <c:pt idx="11" formatCode="_ * #,##0_ ;_ * \-#,##0_ ;_ * &quot;-&quot;??_ ;_ @_ ">
                  <c:v>5142.6001000000006</c:v>
                </c:pt>
                <c:pt idx="12" formatCode="_ * #,##0_ ;_ * \-#,##0_ ;_ * &quot;-&quot;??_ ;_ @_ ">
                  <c:v>4639</c:v>
                </c:pt>
                <c:pt idx="13" formatCode="_ * #,##0_ ;_ * \-#,##0_ ;_ * &quot;-&quot;??_ ;_ @_ ">
                  <c:v>4213.75</c:v>
                </c:pt>
                <c:pt idx="14" formatCode="_ * #,##0_ ;_ * \-#,##0_ ;_ * &quot;-&quot;??_ ;_ @_ ">
                  <c:v>4377.28</c:v>
                </c:pt>
                <c:pt idx="15" formatCode="_ * #,##0_ ;_ * \-#,##0_ ;_ * &quot;-&quot;??_ ;_ @_ ">
                  <c:v>2098.69</c:v>
                </c:pt>
                <c:pt idx="16" formatCode="_ * #,##0_ ;_ * \-#,##0_ ;_ * &quot;-&quot;??_ ;_ @_ ">
                  <c:v>1620.43</c:v>
                </c:pt>
                <c:pt idx="17" formatCode="_ * #,##0_ ;_ * \-#,##0_ ;_ * &quot;-&quot;??_ ;_ @_ ">
                  <c:v>1905.46</c:v>
                </c:pt>
                <c:pt idx="18" formatCode="_ * #,##0_ ;_ * \-#,##0_ ;_ * &quot;-&quot;??_ ;_ @_ ">
                  <c:v>1203.5981999999999</c:v>
                </c:pt>
                <c:pt idx="19" formatCode="_ * #,##0_ ;_ * \-#,##0_ ;_ * &quot;-&quot;??_ ;_ @_ ">
                  <c:v>3028.555050220004</c:v>
                </c:pt>
                <c:pt idx="20" formatCode="_ * #,##0_ ;_ * \-#,##0_ ;_ * &quot;-&quot;??_ ;_ @_ ">
                  <c:v>2871.1499999999996</c:v>
                </c:pt>
                <c:pt idx="21" formatCode="_ * #,##0_ ;_ * \-#,##0_ ;_ * &quot;-&quot;??_ ;_ @_ ">
                  <c:v>3042.59</c:v>
                </c:pt>
                <c:pt idx="22" formatCode="_ * #,##0_ ;_ * \-#,##0_ ;_ * &quot;-&quot;??_ ;_ @_ ">
                  <c:v>4160.09</c:v>
                </c:pt>
                <c:pt idx="23" formatCode="_ * #,##0_ ;_ * \-#,##0_ ;_ * &quot;-&quot;??_ ;_ @_ ">
                  <c:v>3755.1499999999996</c:v>
                </c:pt>
                <c:pt idx="24" formatCode="_ * #,##0_ ;_ * \-#,##0_ ;_ * &quot;-&quot;??_ ;_ @_ ">
                  <c:v>2881.026557055</c:v>
                </c:pt>
                <c:pt idx="25" formatCode="_ * #,##0_ ;_ * \-#,##0_ ;_ * &quot;-&quot;??_ ;_ @_ ">
                  <c:v>723.36930000000007</c:v>
                </c:pt>
                <c:pt idx="26" formatCode="_ * #,##0_ ;_ * \-#,##0_ ;_ * &quot;-&quot;??_ ;_ @_ ">
                  <c:v>489.81</c:v>
                </c:pt>
                <c:pt idx="27" formatCode="_ * #,##0_ ;_ * \-#,##0_ ;_ * &quot;-&quot;??_ ;_ @_ ">
                  <c:v>83.703000000000003</c:v>
                </c:pt>
                <c:pt idx="28" formatCode="_ * #,##0_ ;_ * \-#,##0_ ;_ * &quot;-&quot;??_ ;_ @_ ">
                  <c:v>4.3270248599999999</c:v>
                </c:pt>
                <c:pt idx="29" formatCode="_ * #,##0.000_ ;_ * \-#,##0.000_ ;_ * &quot;-&quot;??_ ;_ @_ ">
                  <c:v>1.6379999999999999E-3</c:v>
                </c:pt>
                <c:pt idx="30" formatCode="_ * #,##0.0_ ;_ * \-#,##0.0_ ;_ * &quot;-&quot;??_ ;_ @_ ">
                  <c:v>0.1153</c:v>
                </c:pt>
                <c:pt idx="31" formatCode="_ * #,##0.0_ ;_ * \-#,##0.0_ ;_ * &quot;-&quot;??_ ;_ @_ ">
                  <c:v>0.1066</c:v>
                </c:pt>
                <c:pt idx="32" formatCode="_(* #,##0.00_);_(* \(#,##0.00\);_(* &quot;-&quot;??_);_(@_)">
                  <c:v>2.7824999999999999E-2</c:v>
                </c:pt>
              </c:numCache>
            </c:numRef>
          </c:val>
          <c:smooth val="0"/>
          <c:extLst>
            <c:ext xmlns:c16="http://schemas.microsoft.com/office/drawing/2014/chart" uri="{C3380CC4-5D6E-409C-BE32-E72D297353CC}">
              <c16:uniqueId val="{00000003-EDB5-42A0-AC1B-AEFA007CB56A}"/>
            </c:ext>
          </c:extLst>
        </c:ser>
        <c:dLbls>
          <c:showLegendKey val="0"/>
          <c:showVal val="0"/>
          <c:showCatName val="0"/>
          <c:showSerName val="0"/>
          <c:showPercent val="0"/>
          <c:showBubbleSize val="0"/>
        </c:dLbls>
        <c:marker val="1"/>
        <c:smooth val="0"/>
        <c:axId val="634246080"/>
        <c:axId val="634246472"/>
        <c:extLst>
          <c:ext xmlns:c15="http://schemas.microsoft.com/office/drawing/2012/chart" uri="{02D57815-91ED-43cb-92C2-25804820EDAC}">
            <c15:filteredLineSeries>
              <c15:ser>
                <c:idx val="3"/>
                <c:order val="3"/>
                <c:tx>
                  <c:strRef>
                    <c:extLst>
                      <c:ext uri="{02D57815-91ED-43cb-92C2-25804820EDAC}">
                        <c15:formulaRef>
                          <c15:sqref>'Turnover charts'!$M$3</c15:sqref>
                        </c15:formulaRef>
                      </c:ext>
                    </c:extLst>
                    <c:strCache>
                      <c:ptCount val="1"/>
                      <c:pt idx="0">
                        <c:v>BSE Options (RHS)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extLst>
                      <c:ext uri="{02D57815-91ED-43cb-92C2-25804820EDAC}">
                        <c15:formulaRef>
                          <c15:sqref>'Turnover charts'!$I$4:$I$51</c15:sqref>
                        </c15:formulaRef>
                      </c:ext>
                    </c:extLst>
                    <c:numCache>
                      <c:formatCode>mmm\-yy</c:formatCode>
                      <c:ptCount val="33"/>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numCache>
                  </c:numRef>
                </c:cat>
                <c:val>
                  <c:numRef>
                    <c:extLst>
                      <c:ext uri="{02D57815-91ED-43cb-92C2-25804820EDAC}">
                        <c15:formulaRef>
                          <c15:sqref>'Turnover charts'!$M$4:$M$48</c15:sqref>
                        </c15:formulaRef>
                      </c:ext>
                    </c:extLst>
                    <c:numCache>
                      <c:formatCode>General</c:formatCode>
                      <c:ptCount val="30"/>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numCache>
                  </c:numRef>
                </c:val>
                <c:smooth val="0"/>
                <c:extLst>
                  <c:ext xmlns:c16="http://schemas.microsoft.com/office/drawing/2014/chart" uri="{C3380CC4-5D6E-409C-BE32-E72D297353CC}">
                    <c16:uniqueId val="{00000005-EDB5-42A0-AC1B-AEFA007CB56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'Turnover charts'!$O$3</c15:sqref>
                        </c15:formulaRef>
                      </c:ext>
                    </c:extLst>
                    <c:strCache>
                      <c:ptCount val="1"/>
                      <c:pt idx="0">
                        <c:v>NSE option (RHS)</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'Turnover charts'!$I$4:$I$51</c15:sqref>
                        </c15:formulaRef>
                      </c:ext>
                    </c:extLst>
                    <c:numCache>
                      <c:formatCode>mmm\-yy</c:formatCode>
                      <c:ptCount val="33"/>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numCache>
                  </c:numRef>
                </c:cat>
                <c:val>
                  <c:numRef>
                    <c:extLst xmlns:c15="http://schemas.microsoft.com/office/drawing/2012/chart">
                      <c:ext xmlns:c15="http://schemas.microsoft.com/office/drawing/2012/chart" uri="{02D57815-91ED-43cb-92C2-25804820EDAC}">
                        <c15:formulaRef>
                          <c15:sqref>'Turnover charts'!$O$4:$O$48</c15:sqref>
                        </c15:formulaRef>
                      </c:ext>
                    </c:extLst>
                    <c:numCache>
                      <c:formatCode>General</c:formatCode>
                      <c:ptCount val="30"/>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numCache>
                  </c:numRef>
                </c:val>
                <c:smooth val="0"/>
                <c:extLst xmlns:c15="http://schemas.microsoft.com/office/drawing/2012/chart">
                  <c:ext xmlns:c16="http://schemas.microsoft.com/office/drawing/2014/chart" uri="{C3380CC4-5D6E-409C-BE32-E72D297353CC}">
                    <c16:uniqueId val="{00000006-EDB5-42A0-AC1B-AEFA007CB56A}"/>
                  </c:ext>
                </c:extLst>
              </c15:ser>
            </c15:filteredLineSeries>
          </c:ext>
        </c:extLst>
      </c:lineChart>
      <c:dateAx>
        <c:axId val="634246080"/>
        <c:scaling>
          <c:orientation val="minMax"/>
          <c:min val="43800"/>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34246472"/>
        <c:crosses val="autoZero"/>
        <c:auto val="1"/>
        <c:lblOffset val="100"/>
        <c:baseTimeUnit val="months"/>
      </c:dateAx>
      <c:valAx>
        <c:axId val="634246472"/>
        <c:scaling>
          <c:orientation val="minMax"/>
          <c:max val="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34246080"/>
        <c:crosses val="autoZero"/>
        <c:crossBetween val="between"/>
        <c:majorUnit val="1000"/>
      </c:valAx>
      <c:valAx>
        <c:axId val="1038935064"/>
        <c:scaling>
          <c:orientation val="minMax"/>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sz="900" b="0" i="0" baseline="0">
                    <a:effectLst/>
                  </a:rPr>
                  <a:t>₹</a:t>
                </a:r>
                <a:r>
                  <a:rPr lang="en-IN" sz="900" b="0" i="0" baseline="0">
                    <a:effectLst/>
                  </a:rPr>
                  <a:t> crore</a:t>
                </a:r>
                <a:endParaRPr lang="en-IN" sz="900">
                  <a:effectLst/>
                </a:endParaRPr>
              </a:p>
            </c:rich>
          </c:tx>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038937024"/>
        <c:crosses val="max"/>
        <c:crossBetween val="between"/>
      </c:valAx>
      <c:dateAx>
        <c:axId val="1038937024"/>
        <c:scaling>
          <c:orientation val="minMax"/>
        </c:scaling>
        <c:delete val="1"/>
        <c:axPos val="b"/>
        <c:numFmt formatCode="mmm\-yy" sourceLinked="1"/>
        <c:majorTickMark val="out"/>
        <c:minorTickMark val="none"/>
        <c:tickLblPos val="nextTo"/>
        <c:crossAx val="1038935064"/>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82778999518551322"/>
          <c:h val="0.11701927580871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6899943817894811"/>
          <c:h val="0.72457814568050793"/>
        </c:manualLayout>
      </c:layout>
      <c:barChart>
        <c:barDir val="col"/>
        <c:grouping val="stacked"/>
        <c:varyColors val="0"/>
        <c:ser>
          <c:idx val="1"/>
          <c:order val="0"/>
          <c:tx>
            <c:v>MCX Options (LHS)</c:v>
          </c:tx>
          <c:spPr>
            <a:solidFill>
              <a:schemeClr val="accent2"/>
            </a:solidFill>
            <a:ln w="12700">
              <a:solidFill>
                <a:schemeClr val="tx1">
                  <a:lumMod val="75000"/>
                  <a:lumOff val="25000"/>
                </a:schemeClr>
              </a:solidFill>
            </a:ln>
            <a:effectLst/>
          </c:spPr>
          <c:invertIfNegative val="0"/>
          <c:cat>
            <c:numRef>
              <c:f>'Turnover charts'!$I$4:$I$51</c:f>
              <c:numCache>
                <c:formatCode>mmm\-yy</c:formatCode>
                <c:ptCount val="33"/>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numCache>
            </c:numRef>
          </c:cat>
          <c:val>
            <c:numRef>
              <c:f>'Turnover charts'!$K$4:$K$51</c:f>
              <c:numCache>
                <c:formatCode>_(* #,##0_);_(* \(#,##0\);_(* "-"??_);_(@_)</c:formatCode>
                <c:ptCount val="33"/>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pt idx="30">
                  <c:v>26027.212639000005</c:v>
                </c:pt>
                <c:pt idx="31">
                  <c:v>9915.5255409999991</c:v>
                </c:pt>
                <c:pt idx="32">
                  <c:v>26564.103460999999</c:v>
                </c:pt>
              </c:numCache>
            </c:numRef>
          </c:val>
          <c:extLst>
            <c:ext xmlns:c16="http://schemas.microsoft.com/office/drawing/2014/chart" uri="{C3380CC4-5D6E-409C-BE32-E72D297353CC}">
              <c16:uniqueId val="{00000000-7824-4C7B-AD5D-136B3D369A32}"/>
            </c:ext>
          </c:extLst>
        </c:ser>
        <c:dLbls>
          <c:showLegendKey val="0"/>
          <c:showVal val="0"/>
          <c:showCatName val="0"/>
          <c:showSerName val="0"/>
          <c:showPercent val="0"/>
          <c:showBubbleSize val="0"/>
        </c:dLbls>
        <c:gapWidth val="219"/>
        <c:overlap val="100"/>
        <c:axId val="1038933104"/>
        <c:axId val="1038931536"/>
      </c:barChart>
      <c:lineChart>
        <c:grouping val="standard"/>
        <c:varyColors val="0"/>
        <c:ser>
          <c:idx val="5"/>
          <c:order val="2"/>
          <c:tx>
            <c:v>NSE Options (LHS)</c:v>
          </c:tx>
          <c:spPr>
            <a:ln w="28575" cap="rnd">
              <a:solidFill>
                <a:schemeClr val="accent6"/>
              </a:solidFill>
              <a:round/>
            </a:ln>
            <a:effectLst/>
          </c:spPr>
          <c:marker>
            <c:symbol val="none"/>
          </c:marker>
          <c:cat>
            <c:numRef>
              <c:f>'Turnover charts'!$I$4:$I$51</c:f>
              <c:numCache>
                <c:formatCode>mmm\-yy</c:formatCode>
                <c:ptCount val="33"/>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numCache>
            </c:numRef>
          </c:cat>
          <c:val>
            <c:numRef>
              <c:f>'Turnover charts'!$O$4:$O$51</c:f>
              <c:numCache>
                <c:formatCode>General</c:formatCode>
                <c:ptCount val="33"/>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pt idx="30" formatCode="_ * #,##0_ ;_ * \-#,##0_ ;_ * &quot;-&quot;??_ ;_ @_ ">
                  <c:v>1734.4075534999997</c:v>
                </c:pt>
                <c:pt idx="31" formatCode="_ * #,##0_ ;_ * \-#,##0_ ;_ * &quot;-&quot;??_ ;_ @_ ">
                  <c:v>1856.5995699999994</c:v>
                </c:pt>
                <c:pt idx="32" formatCode="_ * #,##0_ ;_ * \-#,##0_ ;_ * &quot;-&quot;??_ ;_ @_ ">
                  <c:v>2633.3125410000002</c:v>
                </c:pt>
              </c:numCache>
            </c:numRef>
          </c:val>
          <c:smooth val="0"/>
          <c:extLst>
            <c:ext xmlns:c16="http://schemas.microsoft.com/office/drawing/2014/chart" uri="{C3380CC4-5D6E-409C-BE32-E72D297353CC}">
              <c16:uniqueId val="{00000001-7824-4C7B-AD5D-136B3D369A32}"/>
            </c:ext>
          </c:extLst>
        </c:ser>
        <c:dLbls>
          <c:showLegendKey val="0"/>
          <c:showVal val="0"/>
          <c:showCatName val="0"/>
          <c:showSerName val="0"/>
          <c:showPercent val="0"/>
          <c:showBubbleSize val="0"/>
        </c:dLbls>
        <c:marker val="1"/>
        <c:smooth val="0"/>
        <c:axId val="1038933104"/>
        <c:axId val="1038931536"/>
      </c:lineChart>
      <c:lineChart>
        <c:grouping val="standard"/>
        <c:varyColors val="0"/>
        <c:ser>
          <c:idx val="3"/>
          <c:order val="1"/>
          <c:tx>
            <c:strRef>
              <c:f>'Turnover charts'!$M$3</c:f>
              <c:strCache>
                <c:ptCount val="1"/>
                <c:pt idx="0">
                  <c:v>BSE Options (RHS)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'Turnover charts'!$I$4:$I$51</c:f>
              <c:numCache>
                <c:formatCode>mmm\-yy</c:formatCode>
                <c:ptCount val="33"/>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numCache>
            </c:numRef>
          </c:cat>
          <c:val>
            <c:numRef>
              <c:f>'Turnover charts'!$M$4:$M$51</c:f>
              <c:numCache>
                <c:formatCode>General</c:formatCode>
                <c:ptCount val="33"/>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pt idx="30" formatCode="_ * #,##0_ ;_ * \-#,##0_ ;_ * &quot;-&quot;??_ ;_ @_ ">
                  <c:v>58331.41</c:v>
                </c:pt>
                <c:pt idx="31" formatCode="_ * #,##0_ ;_ * \-#,##0_ ;_ * &quot;-&quot;??_ ;_ @_ ">
                  <c:v>56137.399999999994</c:v>
                </c:pt>
                <c:pt idx="32" formatCode="_ * #,##0_ ;_ * \-#,##0_ ;_ * &quot;-&quot;??_ ;_ @_ ">
                  <c:v>53954.21</c:v>
                </c:pt>
              </c:numCache>
            </c:numRef>
          </c:val>
          <c:smooth val="0"/>
          <c:extLst>
            <c:ext xmlns:c16="http://schemas.microsoft.com/office/drawing/2014/chart" uri="{C3380CC4-5D6E-409C-BE32-E72D297353CC}">
              <c16:uniqueId val="{00000002-7824-4C7B-AD5D-136B3D369A32}"/>
            </c:ext>
          </c:extLst>
        </c:ser>
        <c:dLbls>
          <c:showLegendKey val="0"/>
          <c:showVal val="0"/>
          <c:showCatName val="0"/>
          <c:showSerName val="0"/>
          <c:showPercent val="0"/>
          <c:showBubbleSize val="0"/>
        </c:dLbls>
        <c:marker val="1"/>
        <c:smooth val="0"/>
        <c:axId val="1038931928"/>
        <c:axId val="1038934280"/>
      </c:lineChart>
      <c:dateAx>
        <c:axId val="1038933104"/>
        <c:scaling>
          <c:orientation val="minMax"/>
          <c:min val="43800"/>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038931536"/>
        <c:crosses val="autoZero"/>
        <c:auto val="1"/>
        <c:lblOffset val="100"/>
        <c:baseTimeUnit val="months"/>
      </c:dateAx>
      <c:valAx>
        <c:axId val="1038931536"/>
        <c:scaling>
          <c:orientation val="minMax"/>
          <c:max val="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baseline="0"/>
                  <a:t> </a:t>
                </a:r>
                <a:r>
                  <a:rPr lang="en-IN"/>
                  <a:t> crore</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038933104"/>
        <c:crosses val="autoZero"/>
        <c:crossBetween val="between"/>
        <c:majorUnit val="5000"/>
        <c:minorUnit val="5000"/>
      </c:valAx>
      <c:valAx>
        <c:axId val="1038934280"/>
        <c:scaling>
          <c:orientation val="minMax"/>
          <c:max val="75000"/>
          <c:min val="0"/>
        </c:scaling>
        <c:delete val="0"/>
        <c:axPos val="r"/>
        <c:title>
          <c:tx>
            <c:rich>
              <a:bodyPr rot="5400000" spcFirstLastPara="1" vertOverflow="ellipsis"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manualLayout>
              <c:xMode val="edge"/>
              <c:yMode val="edge"/>
              <c:x val="0.96802305074641692"/>
              <c:y val="0.31903100347750651"/>
            </c:manualLayout>
          </c:layout>
          <c:overlay val="0"/>
          <c:spPr>
            <a:noFill/>
            <a:ln>
              <a:noFill/>
            </a:ln>
            <a:effectLst/>
          </c:spPr>
          <c:txPr>
            <a:bodyPr rot="5400000" spcFirstLastPara="1" vertOverflow="ellipsis"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038931928"/>
        <c:crosses val="max"/>
        <c:crossBetween val="between"/>
        <c:majorUnit val="10000"/>
      </c:valAx>
      <c:dateAx>
        <c:axId val="1038931928"/>
        <c:scaling>
          <c:orientation val="minMax"/>
        </c:scaling>
        <c:delete val="1"/>
        <c:axPos val="b"/>
        <c:numFmt formatCode="mmm\-yy" sourceLinked="1"/>
        <c:majorTickMark val="out"/>
        <c:minorTickMark val="none"/>
        <c:tickLblPos val="nextTo"/>
        <c:crossAx val="1038934280"/>
        <c:crossesAt val="0"/>
        <c:auto val="1"/>
        <c:lblOffset val="100"/>
        <c:baseTimeUnit val="months"/>
      </c:dateAx>
      <c:spPr>
        <a:noFill/>
        <a:ln>
          <a:noFill/>
        </a:ln>
        <a:effectLst/>
      </c:spPr>
    </c:plotArea>
    <c:legend>
      <c:legendPos val="b"/>
      <c:layout>
        <c:manualLayout>
          <c:xMode val="edge"/>
          <c:yMode val="edge"/>
          <c:x val="0.10228638086905803"/>
          <c:y val="0.88298072419128193"/>
          <c:w val="0.82778999518551322"/>
          <c:h val="0.11701927580871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08658400458563"/>
          <c:y val="0.1243737544171479"/>
          <c:w val="0.77529912209249707"/>
          <c:h val="0.50249125843324272"/>
        </c:manualLayout>
      </c:layout>
      <c:barChart>
        <c:barDir val="col"/>
        <c:grouping val="clustered"/>
        <c:varyColors val="1"/>
        <c:ser>
          <c:idx val="0"/>
          <c:order val="0"/>
          <c:tx>
            <c:strRef>
              <c:f>'F2&amp;F3'!$D$4</c:f>
              <c:strCache>
                <c:ptCount val="1"/>
                <c:pt idx="0">
                  <c:v>Average Daily Turnover at NSE (LHS)</c:v>
                </c:pt>
              </c:strCache>
            </c:strRef>
          </c:tx>
          <c:spPr>
            <a:solidFill>
              <a:srgbClr val="7030A0"/>
            </a:solidFill>
          </c:spPr>
          <c:invertIfNegative val="1"/>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'F2&amp;F3'!$A$13:$A$24</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'F2&amp;F3'!$D$13:$D$24</c:f>
              <c:numCache>
                <c:formatCode>#,##0</c:formatCode>
                <c:ptCount val="12"/>
                <c:pt idx="0">
                  <c:v>32475.380315149861</c:v>
                </c:pt>
                <c:pt idx="1">
                  <c:v>35015.085542821784</c:v>
                </c:pt>
                <c:pt idx="2">
                  <c:v>39838.41244</c:v>
                </c:pt>
                <c:pt idx="3">
                  <c:v>47916.596666666665</c:v>
                </c:pt>
                <c:pt idx="4">
                  <c:v>50322.35</c:v>
                </c:pt>
                <c:pt idx="5">
                  <c:v>52655.6</c:v>
                </c:pt>
                <c:pt idx="6">
                  <c:v>61394.58</c:v>
                </c:pt>
                <c:pt idx="7" formatCode="[&gt;=10000000]#\,##\,##\,##0;[&gt;=100000]#\,##\,##0;##,##0">
                  <c:v>58631.347159999998</c:v>
                </c:pt>
                <c:pt idx="8" formatCode="[&gt;=10000000]#\,##\,##\,##0;[&gt;=100000]#\,##\,##0;##,##0">
                  <c:v>61074.12</c:v>
                </c:pt>
                <c:pt idx="9" formatCode="[&gt;=10000000]#\,##\,##\,##0;[&gt;=100000]#\,##\,##0;##,##0">
                  <c:v>55605.851524328958</c:v>
                </c:pt>
                <c:pt idx="10" formatCode="[&gt;=10000000]#\,##\,##\,##0;[&gt;=100000]#\,##\,##0;##,##0">
                  <c:v>52327.798311617102</c:v>
                </c:pt>
                <c:pt idx="11" formatCode="[&gt;=10000000]#\,##\,##\,##0;[&gt;=100000]#\,##\,##0;##,##0">
                  <c:v>66863.595756470837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233-4649-B84D-7B43A2FB22DD}"/>
            </c:ext>
          </c:extLst>
        </c:ser>
        <c:dLbls>
          <c:showLegendKey val="0"/>
          <c:showVal val="0"/>
          <c:showCatName val="0"/>
          <c:showSerName val="0"/>
          <c:showPercent val="0"/>
          <c:showBubbleSize val="0"/>
        </c:dLbls>
        <c:gapWidth val="150"/>
        <c:axId val="1060999664"/>
        <c:axId val="1060992608"/>
      </c:barChart>
      <c:lineChart>
        <c:grouping val="standard"/>
        <c:varyColors val="0"/>
        <c:ser>
          <c:idx val="1"/>
          <c:order val="1"/>
          <c:tx>
            <c:strRef>
              <c:f>'F2&amp;F3'!$E$4</c:f>
              <c:strCache>
                <c:ptCount val="1"/>
                <c:pt idx="0">
                  <c:v>Average Daily Value of Nifty (RHS)</c:v>
                </c:pt>
              </c:strCache>
            </c:strRef>
          </c:tx>
          <c:spPr>
            <a:ln w="19050" cmpd="sng">
              <a:solidFill>
                <a:srgbClr val="7C4B23"/>
              </a:solidFill>
              <a:prstDash val="solid"/>
            </a:ln>
          </c:spPr>
          <c:marker>
            <c:symbol val="circle"/>
            <c:size val="7"/>
            <c:spPr>
              <a:solidFill>
                <a:srgbClr val="FF0000"/>
              </a:solidFill>
              <a:ln cmpd="sng">
                <a:solidFill>
                  <a:srgbClr val="7C4B23"/>
                </a:solidFill>
              </a:ln>
            </c:spPr>
          </c:marker>
          <c:cat>
            <c:numRef>
              <c:f>'F2&amp;F3'!$A$13:$A$24</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'F2&amp;F3'!$E$13:$E$24</c:f>
              <c:numCache>
                <c:formatCode>#,##0</c:formatCode>
                <c:ptCount val="12"/>
                <c:pt idx="0">
                  <c:v>12096.88095238095</c:v>
                </c:pt>
                <c:pt idx="1">
                  <c:v>12183.065217391302</c:v>
                </c:pt>
                <c:pt idx="2">
                  <c:v>11934.472499999998</c:v>
                </c:pt>
                <c:pt idx="3">
                  <c:v>9426.3119047619057</c:v>
                </c:pt>
                <c:pt idx="4">
                  <c:v>9063.58</c:v>
                </c:pt>
                <c:pt idx="5">
                  <c:v>9192.01</c:v>
                </c:pt>
                <c:pt idx="6">
                  <c:v>10116.450000000001</c:v>
                </c:pt>
                <c:pt idx="7">
                  <c:v>10897.695652173914</c:v>
                </c:pt>
                <c:pt idx="8" formatCode="[&gt;=10000000]#\,##\,##\,##0;[&gt;=100000]#\,##\,##0;##,##0">
                  <c:v>11318.57</c:v>
                </c:pt>
                <c:pt idx="9" formatCode="[&gt;=10000000]#\,##\,##\,##0;[&gt;=100000]#\,##\,##0;##,##0">
                  <c:v>11336.702272727271</c:v>
                </c:pt>
                <c:pt idx="10" formatCode="[&gt;=10000000]#\,##\,##\,##0;[&gt;=100000]#\,##\,##0;##,##0">
                  <c:v>11789.709523809524</c:v>
                </c:pt>
                <c:pt idx="11" formatCode="[&gt;=10000000]#\,##\,##\,##0;[&gt;=100000]#\,##\,##0;##,##0">
                  <c:v>12602.3225</c:v>
                </c:pt>
              </c:numCache>
            </c:numRef>
          </c:val>
          <c:smooth val="0"/>
          <c:extLst>
            <c:ext xmlns:c16="http://schemas.microsoft.com/office/drawing/2014/chart" uri="{C3380CC4-5D6E-409C-BE32-E72D297353CC}">
              <c16:uniqueId val="{00000001-F233-4649-B84D-7B43A2FB22DD}"/>
            </c:ext>
          </c:extLst>
        </c:ser>
        <c:dLbls>
          <c:showLegendKey val="0"/>
          <c:showVal val="0"/>
          <c:showCatName val="0"/>
          <c:showSerName val="0"/>
          <c:showPercent val="0"/>
          <c:showBubbleSize val="0"/>
        </c:dLbls>
        <c:marker val="1"/>
        <c:smooth val="0"/>
        <c:axId val="1061000448"/>
        <c:axId val="1060993784"/>
      </c:lineChart>
      <c:dateAx>
        <c:axId val="1060999664"/>
        <c:scaling>
          <c:orientation val="minMax"/>
        </c:scaling>
        <c:delete val="0"/>
        <c:axPos val="b"/>
        <c:title>
          <c:tx>
            <c:rich>
              <a:bodyPr/>
              <a:lstStyle/>
              <a:p>
                <a:pPr>
                  <a:defRPr/>
                </a:pPr>
                <a:endParaRPr lang="en-IN"/>
              </a:p>
            </c:rich>
          </c:tx>
          <c:overlay val="0"/>
        </c:title>
        <c:numFmt formatCode="[$-409]mmm\-yy" sourceLinked="1"/>
        <c:majorTickMark val="cross"/>
        <c:minorTickMark val="cross"/>
        <c:tickLblPos val="nextTo"/>
        <c:txPr>
          <a:bodyPr rot="-5400000"/>
          <a:lstStyle/>
          <a:p>
            <a:pPr>
              <a:defRPr/>
            </a:pPr>
            <a:endParaRPr lang="en-US"/>
          </a:p>
        </c:txPr>
        <c:crossAx val="1060992608"/>
        <c:crosses val="autoZero"/>
        <c:auto val="1"/>
        <c:lblOffset val="100"/>
        <c:baseTimeUnit val="months"/>
      </c:dateAx>
      <c:valAx>
        <c:axId val="1060992608"/>
        <c:scaling>
          <c:orientation val="minMax"/>
          <c:min val="2800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a:defRPr b="0"/>
                </a:pPr>
                <a:r>
                  <a:rPr lang="en-GB" b="0"/>
                  <a:t>₹</a:t>
                </a:r>
                <a:r>
                  <a:rPr lang="en-IN" b="0"/>
                  <a:t> crore</a:t>
                </a:r>
              </a:p>
            </c:rich>
          </c:tx>
          <c:layout>
            <c:manualLayout>
              <c:xMode val="edge"/>
              <c:yMode val="edge"/>
              <c:x val="1.3539536006275077E-2"/>
              <c:y val="0.29672811140244509"/>
            </c:manualLayout>
          </c:layout>
          <c:overlay val="0"/>
        </c:title>
        <c:numFmt formatCode="#,##0" sourceLinked="1"/>
        <c:majorTickMark val="cross"/>
        <c:minorTickMark val="cross"/>
        <c:tickLblPos val="nextTo"/>
        <c:spPr>
          <a:ln w="47625">
            <a:noFill/>
          </a:ln>
        </c:spPr>
        <c:crossAx val="1060999664"/>
        <c:crosses val="autoZero"/>
        <c:crossBetween val="between"/>
      </c:valAx>
      <c:dateAx>
        <c:axId val="1061000448"/>
        <c:scaling>
          <c:orientation val="minMax"/>
        </c:scaling>
        <c:delete val="1"/>
        <c:axPos val="b"/>
        <c:numFmt formatCode="[$-409]mmm\-yy" sourceLinked="1"/>
        <c:majorTickMark val="cross"/>
        <c:minorTickMark val="cross"/>
        <c:tickLblPos val="nextTo"/>
        <c:crossAx val="1060993784"/>
        <c:crosses val="autoZero"/>
        <c:auto val="1"/>
        <c:lblOffset val="100"/>
        <c:baseTimeUnit val="months"/>
      </c:dateAx>
      <c:valAx>
        <c:axId val="1060993784"/>
        <c:scaling>
          <c:orientation val="minMax"/>
          <c:min val="9000"/>
        </c:scaling>
        <c:delete val="0"/>
        <c:axPos val="r"/>
        <c:majorGridlines>
          <c:spPr>
            <a:ln>
              <a:solidFill>
                <a:srgbClr val="B7B7B7"/>
              </a:solidFill>
            </a:ln>
          </c:spPr>
        </c:majorGridlines>
        <c:minorGridlines>
          <c:spPr>
            <a:ln>
              <a:solidFill>
                <a:srgbClr val="CCCCCC">
                  <a:alpha val="0"/>
                </a:srgbClr>
              </a:solidFill>
            </a:ln>
          </c:spPr>
        </c:minorGridlines>
        <c:title>
          <c:tx>
            <c:rich>
              <a:bodyPr/>
              <a:lstStyle/>
              <a:p>
                <a:pPr>
                  <a:defRPr/>
                </a:pPr>
                <a:endParaRPr lang="en-IN"/>
              </a:p>
            </c:rich>
          </c:tx>
          <c:overlay val="0"/>
        </c:title>
        <c:numFmt formatCode="#,##0" sourceLinked="1"/>
        <c:majorTickMark val="cross"/>
        <c:minorTickMark val="cross"/>
        <c:tickLblPos val="nextTo"/>
        <c:spPr>
          <a:ln w="47625">
            <a:noFill/>
          </a:ln>
        </c:spPr>
        <c:crossAx val="1061000448"/>
        <c:crosses val="max"/>
        <c:crossBetween val="between"/>
      </c:val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8669311072959"/>
          <c:y val="0.11732041864263536"/>
          <c:w val="0.76243190653799853"/>
          <c:h val="0.5511761908103513"/>
        </c:manualLayout>
      </c:layout>
      <c:barChart>
        <c:barDir val="col"/>
        <c:grouping val="clustered"/>
        <c:varyColors val="1"/>
        <c:ser>
          <c:idx val="0"/>
          <c:order val="0"/>
          <c:tx>
            <c:strRef>
              <c:f>'F2&amp;F3'!$B$4</c:f>
              <c:strCache>
                <c:ptCount val="1"/>
                <c:pt idx="0">
                  <c:v>Average Daily Turnover at BSE (LHS)</c:v>
                </c:pt>
              </c:strCache>
            </c:strRef>
          </c:tx>
          <c:spPr>
            <a:solidFill>
              <a:srgbClr val="7030A0"/>
            </a:solidFill>
          </c:spPr>
          <c:invertIfNegative val="1"/>
          <c:dLbls>
            <c:spPr>
              <a:noFill/>
              <a:ln>
                <a:noFill/>
              </a:ln>
              <a:effectLst/>
            </c:spPr>
            <c:txPr>
              <a:bodyPr/>
              <a:lstStyle/>
              <a:p>
                <a:pPr lvl="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'F2&amp;F3'!$A$13:$A$24</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'F2&amp;F3'!$B$13:$B$24</c:f>
              <c:numCache>
                <c:formatCode>[&gt;=10000000]#\,##\,##\,##0;[&gt;=100000]#\,##\,##0;##,##0</c:formatCode>
                <c:ptCount val="12"/>
                <c:pt idx="0">
                  <c:v>2074.2914285714287</c:v>
                </c:pt>
                <c:pt idx="1">
                  <c:v>2428.0769565217392</c:v>
                </c:pt>
                <c:pt idx="2">
                  <c:v>2785.4995000000004</c:v>
                </c:pt>
                <c:pt idx="3">
                  <c:v>3903.431428571429</c:v>
                </c:pt>
                <c:pt idx="4">
                  <c:v>2470.91</c:v>
                </c:pt>
                <c:pt idx="5">
                  <c:v>3422.05</c:v>
                </c:pt>
                <c:pt idx="6">
                  <c:v>5008.76</c:v>
                </c:pt>
                <c:pt idx="7">
                  <c:v>3482.2930434782606</c:v>
                </c:pt>
                <c:pt idx="8">
                  <c:v>4432.38</c:v>
                </c:pt>
                <c:pt idx="9">
                  <c:v>3182.9668181818183</c:v>
                </c:pt>
                <c:pt idx="10">
                  <c:v>2755.5385714285712</c:v>
                </c:pt>
                <c:pt idx="11">
                  <c:v>3533.7944999999991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A1D7-4AD0-B861-AB764EFDF2B6}"/>
            </c:ext>
          </c:extLst>
        </c:ser>
        <c:dLbls>
          <c:showLegendKey val="0"/>
          <c:showVal val="0"/>
          <c:showCatName val="0"/>
          <c:showSerName val="0"/>
          <c:showPercent val="0"/>
          <c:showBubbleSize val="0"/>
        </c:dLbls>
        <c:gapWidth val="150"/>
        <c:axId val="482372080"/>
        <c:axId val="482372864"/>
      </c:barChart>
      <c:lineChart>
        <c:grouping val="standard"/>
        <c:varyColors val="0"/>
        <c:ser>
          <c:idx val="1"/>
          <c:order val="1"/>
          <c:tx>
            <c:strRef>
              <c:f>'F2&amp;F3'!$C$4</c:f>
              <c:strCache>
                <c:ptCount val="1"/>
                <c:pt idx="0">
                  <c:v>Average Daily Value of Sensex (RHS)</c:v>
                </c:pt>
              </c:strCache>
            </c:strRef>
          </c:tx>
          <c:spPr>
            <a:ln w="19050" cmpd="sng">
              <a:solidFill>
                <a:schemeClr val="accent6">
                  <a:lumMod val="50000"/>
                </a:schemeClr>
              </a:solidFill>
              <a:prstDash val="solid"/>
            </a:ln>
          </c:spPr>
          <c:marker>
            <c:symbol val="circle"/>
            <c:size val="7"/>
            <c:spPr>
              <a:solidFill>
                <a:srgbClr val="FF0000"/>
              </a:solidFill>
              <a:ln cmpd="sng">
                <a:solidFill>
                  <a:schemeClr val="accent6">
                    <a:lumMod val="50000"/>
                  </a:schemeClr>
                </a:solidFill>
              </a:ln>
            </c:spPr>
          </c:marker>
          <c:cat>
            <c:numRef>
              <c:f>'F2&amp;F3'!$A$13:$A$24</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'F2&amp;F3'!$C$13:$C$24</c:f>
              <c:numCache>
                <c:formatCode>#,##0</c:formatCode>
                <c:ptCount val="12"/>
                <c:pt idx="0">
                  <c:v>41054.449047619055</c:v>
                </c:pt>
                <c:pt idx="1">
                  <c:v>41360.947826086951</c:v>
                </c:pt>
                <c:pt idx="2">
                  <c:v>40674.324000000001</c:v>
                </c:pt>
                <c:pt idx="3" formatCode="[&gt;=10000000]#\,##\,##\,##0;[&gt;=100000]#\,##\,##0;##,##0">
                  <c:v>32254.451428571429</c:v>
                </c:pt>
                <c:pt idx="4" formatCode="[&gt;=10000000]#\,##\,##\,##0;[&gt;=100000]#\,##\,##0;##,##0">
                  <c:v>30966</c:v>
                </c:pt>
                <c:pt idx="5" formatCode="[&gt;=10000000]#\,##\,##\,##0;[&gt;=100000]#\,##\,##0;##,##0">
                  <c:v>31294</c:v>
                </c:pt>
                <c:pt idx="6" formatCode="[&gt;=10000000]#\,##\,##\,##0;[&gt;=100000]#\,##\,##0;##,##0">
                  <c:v>34263</c:v>
                </c:pt>
                <c:pt idx="7" formatCode="0">
                  <c:v>37030.641739130428</c:v>
                </c:pt>
                <c:pt idx="8" formatCode="[&gt;=10000000]#\,##\,##\,##0;[&gt;=100000]#\,##\,##0;##,##0">
                  <c:v>38347</c:v>
                </c:pt>
                <c:pt idx="9" formatCode="[&gt;=10000000]#\,##\,##\,##0;[&gt;=100000]#\,##\,##0;##,##0">
                  <c:v>38378.977272727272</c:v>
                </c:pt>
                <c:pt idx="10" formatCode="[&gt;=10000000]#\,##\,##\,##0;[&gt;=100000]#\,##\,##0;##,##0">
                  <c:v>40115.386666666658</c:v>
                </c:pt>
                <c:pt idx="11" formatCode="[&gt;=10000000]#\,##\,##\,##0;[&gt;=100000]#\,##\,##0;##,##0">
                  <c:v>43011.3845</c:v>
                </c:pt>
              </c:numCache>
            </c:numRef>
          </c:val>
          <c:smooth val="0"/>
          <c:extLst>
            <c:ext xmlns:c16="http://schemas.microsoft.com/office/drawing/2014/chart" uri="{C3380CC4-5D6E-409C-BE32-E72D297353CC}">
              <c16:uniqueId val="{00000001-A1D7-4AD0-B861-AB764EFDF2B6}"/>
            </c:ext>
          </c:extLst>
        </c:ser>
        <c:dLbls>
          <c:showLegendKey val="0"/>
          <c:showVal val="0"/>
          <c:showCatName val="0"/>
          <c:showSerName val="0"/>
          <c:showPercent val="0"/>
          <c:showBubbleSize val="0"/>
        </c:dLbls>
        <c:marker val="1"/>
        <c:smooth val="0"/>
        <c:axId val="482372472"/>
        <c:axId val="482368160"/>
      </c:lineChart>
      <c:dateAx>
        <c:axId val="482372080"/>
        <c:scaling>
          <c:orientation val="minMax"/>
        </c:scaling>
        <c:delete val="0"/>
        <c:axPos val="b"/>
        <c:title>
          <c:tx>
            <c:rich>
              <a:bodyPr/>
              <a:lstStyle/>
              <a:p>
                <a:pPr lvl="0">
                  <a:defRPr b="0">
                    <a:solidFill>
                      <a:srgbClr val="000000"/>
                    </a:solidFill>
                    <a:latin typeface="Roboto"/>
                  </a:defRPr>
                </a:pPr>
                <a:endParaRPr lang="en-IN"/>
              </a:p>
            </c:rich>
          </c:tx>
          <c:overlay val="0"/>
        </c:title>
        <c:numFmt formatCode="[$-409]mmm\-yy" sourceLinked="1"/>
        <c:majorTickMark val="cross"/>
        <c:minorTickMark val="cross"/>
        <c:tickLblPos val="nextTo"/>
        <c:txPr>
          <a:bodyPr rot="-5400000"/>
          <a:lstStyle/>
          <a:p>
            <a:pPr lvl="0">
              <a:defRPr sz="900" b="0" i="0">
                <a:solidFill>
                  <a:srgbClr val="000000"/>
                </a:solidFill>
                <a:latin typeface="Palatino Linotype" panose="02040502050505030304" pitchFamily="18" charset="0"/>
              </a:defRPr>
            </a:pPr>
            <a:endParaRPr lang="en-US"/>
          </a:p>
        </c:txPr>
        <c:crossAx val="482372864"/>
        <c:crosses val="autoZero"/>
        <c:auto val="1"/>
        <c:lblOffset val="100"/>
        <c:baseTimeUnit val="months"/>
      </c:dateAx>
      <c:valAx>
        <c:axId val="482372864"/>
        <c:scaling>
          <c:orientation val="minMax"/>
          <c:max val="400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lvl="0">
                  <a:defRPr sz="900" b="0" i="0">
                    <a:solidFill>
                      <a:srgbClr val="000000"/>
                    </a:solidFill>
                    <a:latin typeface="Palatino Linotype" panose="02040502050505030304" pitchFamily="18" charset="0"/>
                  </a:defRPr>
                </a:pPr>
                <a:r>
                  <a:rPr lang="en-IN" sz="900" b="0" baseline="0">
                    <a:latin typeface="Palatino Linotype" panose="02040502050505030304" pitchFamily="18" charset="0"/>
                  </a:rPr>
                  <a:t> </a:t>
                </a:r>
                <a:r>
                  <a:rPr lang="en-GB" sz="900" b="0" i="0" u="none" strike="noStrike" baseline="0">
                    <a:effectLst/>
                    <a:latin typeface="Palatino Linotype" panose="02040502050505030304" pitchFamily="18" charset="0"/>
                  </a:rPr>
                  <a:t>₹ </a:t>
                </a:r>
                <a:r>
                  <a:rPr lang="en-IN" sz="900" b="0">
                    <a:latin typeface="Palatino Linotype" panose="02040502050505030304" pitchFamily="18" charset="0"/>
                  </a:rPr>
                  <a:t>crore</a:t>
                </a:r>
              </a:p>
            </c:rich>
          </c:tx>
          <c:layout>
            <c:manualLayout>
              <c:xMode val="edge"/>
              <c:yMode val="edge"/>
              <c:x val="1.2416395319006178E-2"/>
              <c:y val="0.31596108100191905"/>
            </c:manualLayout>
          </c:layout>
          <c:overlay val="0"/>
        </c:title>
        <c:numFmt formatCode="[&gt;=10000000]#\,##\,##\,##0;[&gt;=100000]#\,##\,##0;##,##0" sourceLinked="1"/>
        <c:majorTickMark val="cross"/>
        <c:minorTickMark val="cross"/>
        <c:tickLblPos val="nextTo"/>
        <c:spPr>
          <a:ln w="47625">
            <a:noFill/>
          </a:ln>
        </c:spPr>
        <c:txPr>
          <a:bodyPr/>
          <a:lstStyle/>
          <a:p>
            <a:pPr lvl="0">
              <a:defRPr sz="900" b="0" i="0">
                <a:solidFill>
                  <a:srgbClr val="000000"/>
                </a:solidFill>
                <a:latin typeface="Palatino Linotype" panose="02040502050505030304" pitchFamily="18" charset="0"/>
              </a:defRPr>
            </a:pPr>
            <a:endParaRPr lang="en-US"/>
          </a:p>
        </c:txPr>
        <c:crossAx val="482372080"/>
        <c:crosses val="autoZero"/>
        <c:crossBetween val="between"/>
      </c:valAx>
      <c:dateAx>
        <c:axId val="482372472"/>
        <c:scaling>
          <c:orientation val="minMax"/>
        </c:scaling>
        <c:delete val="1"/>
        <c:axPos val="b"/>
        <c:numFmt formatCode="[$-409]mmm\-yy" sourceLinked="1"/>
        <c:majorTickMark val="cross"/>
        <c:minorTickMark val="cross"/>
        <c:tickLblPos val="nextTo"/>
        <c:crossAx val="482368160"/>
        <c:crosses val="autoZero"/>
        <c:auto val="1"/>
        <c:lblOffset val="100"/>
        <c:baseTimeUnit val="months"/>
      </c:dateAx>
      <c:valAx>
        <c:axId val="482368160"/>
        <c:scaling>
          <c:orientation val="minMax"/>
          <c:min val="10000"/>
        </c:scaling>
        <c:delete val="0"/>
        <c:axPos val="r"/>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Roboto"/>
                  </a:defRPr>
                </a:pPr>
                <a:endParaRPr lang="en-IN"/>
              </a:p>
            </c:rich>
          </c:tx>
          <c:overlay val="0"/>
        </c:title>
        <c:numFmt formatCode="#,##0" sourceLinked="1"/>
        <c:majorTickMark val="cross"/>
        <c:minorTickMark val="cross"/>
        <c:tickLblPos val="nextTo"/>
        <c:spPr>
          <a:ln w="47625">
            <a:noFill/>
          </a:ln>
        </c:spPr>
        <c:txPr>
          <a:bodyPr/>
          <a:lstStyle/>
          <a:p>
            <a:pPr lvl="0">
              <a:defRPr sz="900" b="0" i="0">
                <a:solidFill>
                  <a:srgbClr val="000000"/>
                </a:solidFill>
                <a:latin typeface="Palatino Linotype" panose="02040502050505030304" pitchFamily="18" charset="0"/>
              </a:defRPr>
            </a:pPr>
            <a:endParaRPr lang="en-US"/>
          </a:p>
        </c:txPr>
        <c:crossAx val="482372472"/>
        <c:crosses val="max"/>
        <c:crossBetween val="between"/>
      </c:valAx>
      <c:spPr>
        <a:solidFill>
          <a:srgbClr val="FFFFFF"/>
        </a:solidFill>
      </c:spPr>
    </c:plotArea>
    <c:legend>
      <c:legendPos val="b"/>
      <c:overlay val="0"/>
      <c:txPr>
        <a:bodyPr/>
        <a:lstStyle/>
        <a:p>
          <a:pPr lvl="0">
            <a:defRPr sz="900" b="0" i="0">
              <a:solidFill>
                <a:srgbClr val="000000"/>
              </a:solidFill>
              <a:latin typeface="Palatino Linotype" panose="02040502050505030304" pitchFamily="18" charset="0"/>
            </a:defRPr>
          </a:pPr>
          <a:endParaRPr lang="en-US"/>
        </a:p>
      </c:txPr>
    </c:legend>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3191808635016"/>
          <c:y val="9.8998664796300345E-2"/>
          <c:w val="0.77377382667334749"/>
          <c:h val="0.47451929963971129"/>
        </c:manualLayout>
      </c:layout>
      <c:barChart>
        <c:barDir val="col"/>
        <c:grouping val="clustered"/>
        <c:varyColors val="0"/>
        <c:ser>
          <c:idx val="0"/>
          <c:order val="0"/>
          <c:tx>
            <c:strRef>
              <c:f>'F4&amp;F5'!$B$4</c:f>
              <c:strCache>
                <c:ptCount val="1"/>
                <c:pt idx="0">
                  <c:v>Return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'F4&amp;F5'!$A$5:$A$19</c:f>
              <c:strCache>
                <c:ptCount val="15"/>
                <c:pt idx="0">
                  <c:v>S&amp;P BSE Sensex</c:v>
                </c:pt>
                <c:pt idx="1">
                  <c:v>S&amp;P BSE 100</c:v>
                </c:pt>
                <c:pt idx="2">
                  <c:v>S&amp;P BSE 200</c:v>
                </c:pt>
                <c:pt idx="3">
                  <c:v>S&amp;P BSE 500</c:v>
                </c:pt>
                <c:pt idx="4">
                  <c:v>S&amp;P BSE Large Cap</c:v>
                </c:pt>
                <c:pt idx="5">
                  <c:v>S&amp;P BSE Small Cap</c:v>
                </c:pt>
                <c:pt idx="6">
                  <c:v>S&amp;P BSE Consumer Durables</c:v>
                </c:pt>
                <c:pt idx="7">
                  <c:v>S&amp;P BSE Capital Goods</c:v>
                </c:pt>
                <c:pt idx="8">
                  <c:v>S&amp;P BSE Bankex</c:v>
                </c:pt>
                <c:pt idx="9">
                  <c:v>S&amp;P BSE Teck</c:v>
                </c:pt>
                <c:pt idx="10">
                  <c:v>S&amp;P BSE FMCG</c:v>
                </c:pt>
                <c:pt idx="11">
                  <c:v>S&amp;P BSE Metal </c:v>
                </c:pt>
                <c:pt idx="12">
                  <c:v>S&amp;P BSE PSU</c:v>
                </c:pt>
                <c:pt idx="13">
                  <c:v>S&amp;P BSE Power</c:v>
                </c:pt>
                <c:pt idx="14">
                  <c:v>S&amp;P BSE Healthcare</c:v>
                </c:pt>
              </c:strCache>
            </c:strRef>
          </c:cat>
          <c:val>
            <c:numRef>
              <c:f>'F4&amp;F5'!$B$5:$B$19</c:f>
              <c:numCache>
                <c:formatCode>0.0_ ;[Red]\-0.0\ </c:formatCode>
                <c:ptCount val="15"/>
                <c:pt idx="0">
                  <c:v>11.047302174830559</c:v>
                </c:pt>
                <c:pt idx="1">
                  <c:v>11.069304857799649</c:v>
                </c:pt>
                <c:pt idx="2">
                  <c:v>11.34728142281889</c:v>
                </c:pt>
                <c:pt idx="3">
                  <c:v>11.538062710671941</c:v>
                </c:pt>
                <c:pt idx="4">
                  <c:v>10.92945854286573</c:v>
                </c:pt>
                <c:pt idx="5">
                  <c:v>14.160976708661762</c:v>
                </c:pt>
                <c:pt idx="6">
                  <c:v>12.680812981912773</c:v>
                </c:pt>
                <c:pt idx="7">
                  <c:v>19.588918777842341</c:v>
                </c:pt>
                <c:pt idx="8">
                  <c:v>18.761314364164726</c:v>
                </c:pt>
                <c:pt idx="9">
                  <c:v>3.2742476336887059</c:v>
                </c:pt>
                <c:pt idx="10">
                  <c:v>7.4427465177842471</c:v>
                </c:pt>
                <c:pt idx="11">
                  <c:v>24.771583148861971</c:v>
                </c:pt>
                <c:pt idx="12">
                  <c:v>14.842938353059582</c:v>
                </c:pt>
                <c:pt idx="13">
                  <c:v>14.671048480990152</c:v>
                </c:pt>
                <c:pt idx="14">
                  <c:v>6.3235114816188931</c:v>
                </c:pt>
              </c:numCache>
            </c:numRef>
          </c:val>
          <c:extLst>
            <c:ext xmlns:c16="http://schemas.microsoft.com/office/drawing/2014/chart" uri="{C3380CC4-5D6E-409C-BE32-E72D297353CC}">
              <c16:uniqueId val="{00000000-D923-4FCD-83C3-A84A7FA8CFDC}"/>
            </c:ext>
          </c:extLst>
        </c:ser>
        <c:dLbls>
          <c:showLegendKey val="0"/>
          <c:showVal val="0"/>
          <c:showCatName val="0"/>
          <c:showSerName val="0"/>
          <c:showPercent val="0"/>
          <c:showBubbleSize val="0"/>
        </c:dLbls>
        <c:gapWidth val="219"/>
        <c:axId val="1061004760"/>
        <c:axId val="1061005152"/>
      </c:barChart>
      <c:lineChart>
        <c:grouping val="standard"/>
        <c:varyColors val="0"/>
        <c:ser>
          <c:idx val="1"/>
          <c:order val="1"/>
          <c:tx>
            <c:strRef>
              <c:f>'F4&amp;F5'!$C$4</c:f>
              <c:strCache>
                <c:ptCount val="1"/>
                <c:pt idx="0">
                  <c:v>Volatility (RHS)</c:v>
                </c:pt>
              </c:strCache>
            </c:strRef>
          </c:tx>
          <c:spPr>
            <a:ln w="28575" cap="rnd">
              <a:solidFill>
                <a:srgbClr val="FF0000"/>
              </a:solidFill>
              <a:round/>
            </a:ln>
            <a:effectLst/>
          </c:spPr>
          <c:marker>
            <c:symbol val="none"/>
          </c:marker>
          <c:cat>
            <c:strRef>
              <c:f>'F4&amp;F5'!$A$5:$A$19</c:f>
              <c:strCache>
                <c:ptCount val="15"/>
                <c:pt idx="0">
                  <c:v>S&amp;P BSE Sensex</c:v>
                </c:pt>
                <c:pt idx="1">
                  <c:v>S&amp;P BSE 100</c:v>
                </c:pt>
                <c:pt idx="2">
                  <c:v>S&amp;P BSE 200</c:v>
                </c:pt>
                <c:pt idx="3">
                  <c:v>S&amp;P BSE 500</c:v>
                </c:pt>
                <c:pt idx="4">
                  <c:v>S&amp;P BSE Large Cap</c:v>
                </c:pt>
                <c:pt idx="5">
                  <c:v>S&amp;P BSE Small Cap</c:v>
                </c:pt>
                <c:pt idx="6">
                  <c:v>S&amp;P BSE Consumer Durables</c:v>
                </c:pt>
                <c:pt idx="7">
                  <c:v>S&amp;P BSE Capital Goods</c:v>
                </c:pt>
                <c:pt idx="8">
                  <c:v>S&amp;P BSE Bankex</c:v>
                </c:pt>
                <c:pt idx="9">
                  <c:v>S&amp;P BSE Teck</c:v>
                </c:pt>
                <c:pt idx="10">
                  <c:v>S&amp;P BSE FMCG</c:v>
                </c:pt>
                <c:pt idx="11">
                  <c:v>S&amp;P BSE Metal </c:v>
                </c:pt>
                <c:pt idx="12">
                  <c:v>S&amp;P BSE PSU</c:v>
                </c:pt>
                <c:pt idx="13">
                  <c:v>S&amp;P BSE Power</c:v>
                </c:pt>
                <c:pt idx="14">
                  <c:v>S&amp;P BSE Healthcare</c:v>
                </c:pt>
              </c:strCache>
            </c:strRef>
          </c:cat>
          <c:val>
            <c:numRef>
              <c:f>'F4&amp;F5'!$C$5:$C$19</c:f>
              <c:numCache>
                <c:formatCode>0.0_ ;[Red]\-0.0\ </c:formatCode>
                <c:ptCount val="15"/>
                <c:pt idx="0">
                  <c:v>0.92706583435867829</c:v>
                </c:pt>
                <c:pt idx="1">
                  <c:v>0.84657014338715697</c:v>
                </c:pt>
                <c:pt idx="2">
                  <c:v>0.80677651488845115</c:v>
                </c:pt>
                <c:pt idx="3">
                  <c:v>0.76248786938848556</c:v>
                </c:pt>
                <c:pt idx="4">
                  <c:v>0.86146170161357161</c:v>
                </c:pt>
                <c:pt idx="5">
                  <c:v>0.75923287788481819</c:v>
                </c:pt>
                <c:pt idx="6">
                  <c:v>1.1751743263531937</c:v>
                </c:pt>
                <c:pt idx="7">
                  <c:v>1.1918629455576579</c:v>
                </c:pt>
                <c:pt idx="8">
                  <c:v>1.7876034380119241</c:v>
                </c:pt>
                <c:pt idx="9">
                  <c:v>1.4040016416862553</c:v>
                </c:pt>
                <c:pt idx="10">
                  <c:v>0.75484270423745337</c:v>
                </c:pt>
                <c:pt idx="11">
                  <c:v>1.588774685037609</c:v>
                </c:pt>
                <c:pt idx="12">
                  <c:v>1.0968461646285537</c:v>
                </c:pt>
                <c:pt idx="13">
                  <c:v>0.85642832422042936</c:v>
                </c:pt>
                <c:pt idx="14">
                  <c:v>1.4460943285798895</c:v>
                </c:pt>
              </c:numCache>
            </c:numRef>
          </c:val>
          <c:smooth val="0"/>
          <c:extLst>
            <c:ext xmlns:c16="http://schemas.microsoft.com/office/drawing/2014/chart" uri="{C3380CC4-5D6E-409C-BE32-E72D297353CC}">
              <c16:uniqueId val="{00000001-D923-4FCD-83C3-A84A7FA8CFDC}"/>
            </c:ext>
          </c:extLst>
        </c:ser>
        <c:dLbls>
          <c:showLegendKey val="0"/>
          <c:showVal val="0"/>
          <c:showCatName val="0"/>
          <c:showSerName val="0"/>
          <c:showPercent val="0"/>
          <c:showBubbleSize val="0"/>
        </c:dLbls>
        <c:marker val="1"/>
        <c:smooth val="0"/>
        <c:axId val="1061005936"/>
        <c:axId val="1061006720"/>
      </c:lineChart>
      <c:catAx>
        <c:axId val="10610047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1061005152"/>
        <c:crosses val="autoZero"/>
        <c:auto val="1"/>
        <c:lblAlgn val="ctr"/>
        <c:lblOffset val="100"/>
        <c:noMultiLvlLbl val="0"/>
      </c:catAx>
      <c:valAx>
        <c:axId val="106100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r>
                  <a:rPr lang="en-US"/>
                  <a:t>Return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1061004760"/>
        <c:crosses val="autoZero"/>
        <c:crossBetween val="between"/>
      </c:valAx>
      <c:valAx>
        <c:axId val="1061006720"/>
        <c:scaling>
          <c:orientation val="minMax"/>
          <c:min val="0.30000000000000004"/>
        </c:scaling>
        <c:delete val="0"/>
        <c:axPos val="r"/>
        <c:title>
          <c:tx>
            <c:rich>
              <a:bodyPr rot="5400000" spcFirstLastPara="1" vertOverflow="ellipsis"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r>
                  <a:rPr lang="en-US"/>
                  <a:t>Volatility </a:t>
                </a:r>
              </a:p>
            </c:rich>
          </c:tx>
          <c:layout>
            <c:manualLayout>
              <c:xMode val="edge"/>
              <c:yMode val="edge"/>
              <c:x val="0.95368321659483191"/>
              <c:y val="0.25829603412067109"/>
            </c:manualLayout>
          </c:layout>
          <c:overlay val="0"/>
          <c:spPr>
            <a:noFill/>
            <a:ln>
              <a:noFill/>
            </a:ln>
            <a:effectLst/>
          </c:spPr>
          <c:txPr>
            <a:bodyPr rot="5400000" spcFirstLastPara="1" vertOverflow="ellipsis"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1061005936"/>
        <c:crosses val="max"/>
        <c:crossBetween val="between"/>
      </c:valAx>
      <c:catAx>
        <c:axId val="1061005936"/>
        <c:scaling>
          <c:orientation val="minMax"/>
        </c:scaling>
        <c:delete val="1"/>
        <c:axPos val="b"/>
        <c:numFmt formatCode="General" sourceLinked="1"/>
        <c:majorTickMark val="out"/>
        <c:minorTickMark val="none"/>
        <c:tickLblPos val="nextTo"/>
        <c:crossAx val="1061006720"/>
        <c:crosses val="autoZero"/>
        <c:auto val="1"/>
        <c:lblAlgn val="ctr"/>
        <c:lblOffset val="100"/>
        <c:noMultiLvlLbl val="0"/>
      </c:catAx>
      <c:spPr>
        <a:noFill/>
        <a:ln>
          <a:noFill/>
        </a:ln>
        <a:effectLst/>
      </c:spPr>
    </c:plotArea>
    <c:legend>
      <c:legendPos val="b"/>
      <c:layout>
        <c:manualLayout>
          <c:xMode val="edge"/>
          <c:yMode val="edge"/>
          <c:x val="0.35777354934809497"/>
          <c:y val="0.92661523798651602"/>
          <c:w val="0.44351205543007188"/>
          <c:h val="5.60612509905767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50000"/>
          <a:lumOff val="50000"/>
        </a:schemeClr>
      </a:solidFill>
      <a:prstDash val="solid"/>
      <a:round/>
    </a:ln>
    <a:effectLst/>
  </c:spPr>
  <c:txPr>
    <a:bodyPr/>
    <a:lstStyle/>
    <a:p>
      <a:pPr>
        <a:defRPr sz="900">
          <a:solidFill>
            <a:schemeClr val="dk1"/>
          </a:solidFill>
          <a:latin typeface="Palatino Linotype" panose="02040502050505030304" pitchFamily="18" charset="0"/>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67967591007646"/>
          <c:y val="0.10059439185408688"/>
          <c:w val="0.78229225648745326"/>
          <c:h val="0.51596793569973398"/>
        </c:manualLayout>
      </c:layout>
      <c:barChart>
        <c:barDir val="col"/>
        <c:grouping val="clustered"/>
        <c:varyColors val="0"/>
        <c:ser>
          <c:idx val="0"/>
          <c:order val="0"/>
          <c:tx>
            <c:strRef>
              <c:f>'F4&amp;F5'!$E$4</c:f>
              <c:strCache>
                <c:ptCount val="1"/>
                <c:pt idx="0">
                  <c:v>Return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'F4&amp;F5'!$D$5:$D$19</c:f>
              <c:strCache>
                <c:ptCount val="15"/>
                <c:pt idx="0">
                  <c:v>Nifty 50</c:v>
                </c:pt>
                <c:pt idx="1">
                  <c:v>Nifty Next 50</c:v>
                </c:pt>
                <c:pt idx="2">
                  <c:v>Nifty 100</c:v>
                </c:pt>
                <c:pt idx="3">
                  <c:v>Nifty 200</c:v>
                </c:pt>
                <c:pt idx="4">
                  <c:v>Nifty 500</c:v>
                </c:pt>
                <c:pt idx="5">
                  <c:v>Nifty Midcap 50</c:v>
                </c:pt>
                <c:pt idx="6">
                  <c:v>Nifty Midcap 100</c:v>
                </c:pt>
                <c:pt idx="7">
                  <c:v>Nifty Small 100</c:v>
                </c:pt>
                <c:pt idx="8">
                  <c:v>Nifty Bank</c:v>
                </c:pt>
                <c:pt idx="9">
                  <c:v> Nifty IT</c:v>
                </c:pt>
                <c:pt idx="10">
                  <c:v>Nifty FMCG</c:v>
                </c:pt>
                <c:pt idx="11">
                  <c:v>Nifty Pharma</c:v>
                </c:pt>
                <c:pt idx="12">
                  <c:v>Nifty PSU Bank</c:v>
                </c:pt>
                <c:pt idx="13">
                  <c:v>Nifty Media</c:v>
                </c:pt>
                <c:pt idx="14">
                  <c:v>Nifty MNC</c:v>
                </c:pt>
              </c:strCache>
            </c:strRef>
          </c:cat>
          <c:val>
            <c:numRef>
              <c:f>'F4&amp;F5'!$E$5:$E$19</c:f>
              <c:numCache>
                <c:formatCode>0.0_ ;[Red]\-0.0\ </c:formatCode>
                <c:ptCount val="15"/>
                <c:pt idx="0">
                  <c:v>11.138771889983428</c:v>
                </c:pt>
                <c:pt idx="1">
                  <c:v>10.527965020950997</c:v>
                </c:pt>
                <c:pt idx="2">
                  <c:v>11.058469924476869</c:v>
                </c:pt>
                <c:pt idx="3">
                  <c:v>11.505759509405815</c:v>
                </c:pt>
                <c:pt idx="4">
                  <c:v>11.703895914422215</c:v>
                </c:pt>
                <c:pt idx="5">
                  <c:v>17.829506667514682</c:v>
                </c:pt>
                <c:pt idx="6">
                  <c:v>15.056141743311999</c:v>
                </c:pt>
                <c:pt idx="7">
                  <c:v>14.745312990957645</c:v>
                </c:pt>
                <c:pt idx="8">
                  <c:v>18.947675002510795</c:v>
                </c:pt>
                <c:pt idx="9">
                  <c:v>4.980634083049166</c:v>
                </c:pt>
                <c:pt idx="10">
                  <c:v>7.7351828799192921</c:v>
                </c:pt>
                <c:pt idx="11">
                  <c:v>5.9403326980036368</c:v>
                </c:pt>
                <c:pt idx="12">
                  <c:v>19.61469087001575</c:v>
                </c:pt>
                <c:pt idx="13">
                  <c:v>6.0124127230411171</c:v>
                </c:pt>
                <c:pt idx="14">
                  <c:v>6.3759296822177163</c:v>
                </c:pt>
              </c:numCache>
            </c:numRef>
          </c:val>
          <c:extLst>
            <c:ext xmlns:c16="http://schemas.microsoft.com/office/drawing/2014/chart" uri="{C3380CC4-5D6E-409C-BE32-E72D297353CC}">
              <c16:uniqueId val="{00000000-9E00-4A41-83F5-9B0C63F62B8C}"/>
            </c:ext>
          </c:extLst>
        </c:ser>
        <c:dLbls>
          <c:showLegendKey val="0"/>
          <c:showVal val="0"/>
          <c:showCatName val="0"/>
          <c:showSerName val="0"/>
          <c:showPercent val="0"/>
          <c:showBubbleSize val="0"/>
        </c:dLbls>
        <c:gapWidth val="219"/>
        <c:axId val="1061007896"/>
        <c:axId val="1061005544"/>
      </c:barChart>
      <c:lineChart>
        <c:grouping val="standard"/>
        <c:varyColors val="0"/>
        <c:ser>
          <c:idx val="1"/>
          <c:order val="1"/>
          <c:tx>
            <c:strRef>
              <c:f>'F4&amp;F5'!$F$4</c:f>
              <c:strCache>
                <c:ptCount val="1"/>
                <c:pt idx="0">
                  <c:v>Volatility</c:v>
                </c:pt>
              </c:strCache>
            </c:strRef>
          </c:tx>
          <c:spPr>
            <a:ln w="28575" cap="rnd">
              <a:solidFill>
                <a:srgbClr val="FF0000"/>
              </a:solidFill>
              <a:round/>
            </a:ln>
            <a:effectLst/>
          </c:spPr>
          <c:marker>
            <c:symbol val="none"/>
          </c:marker>
          <c:cat>
            <c:strRef>
              <c:f>'F4&amp;F5'!$D$5:$D$19</c:f>
              <c:strCache>
                <c:ptCount val="15"/>
                <c:pt idx="0">
                  <c:v>Nifty 50</c:v>
                </c:pt>
                <c:pt idx="1">
                  <c:v>Nifty Next 50</c:v>
                </c:pt>
                <c:pt idx="2">
                  <c:v>Nifty 100</c:v>
                </c:pt>
                <c:pt idx="3">
                  <c:v>Nifty 200</c:v>
                </c:pt>
                <c:pt idx="4">
                  <c:v>Nifty 500</c:v>
                </c:pt>
                <c:pt idx="5">
                  <c:v>Nifty Midcap 50</c:v>
                </c:pt>
                <c:pt idx="6">
                  <c:v>Nifty Midcap 100</c:v>
                </c:pt>
                <c:pt idx="7">
                  <c:v>Nifty Small 100</c:v>
                </c:pt>
                <c:pt idx="8">
                  <c:v>Nifty Bank</c:v>
                </c:pt>
                <c:pt idx="9">
                  <c:v> Nifty IT</c:v>
                </c:pt>
                <c:pt idx="10">
                  <c:v>Nifty FMCG</c:v>
                </c:pt>
                <c:pt idx="11">
                  <c:v>Nifty Pharma</c:v>
                </c:pt>
                <c:pt idx="12">
                  <c:v>Nifty PSU Bank</c:v>
                </c:pt>
                <c:pt idx="13">
                  <c:v>Nifty Media</c:v>
                </c:pt>
                <c:pt idx="14">
                  <c:v>Nifty MNC</c:v>
                </c:pt>
              </c:strCache>
            </c:strRef>
          </c:cat>
          <c:val>
            <c:numRef>
              <c:f>'F4&amp;F5'!$F$5:$F$19</c:f>
              <c:numCache>
                <c:formatCode>0.0_ ;[Red]\-0.0\ </c:formatCode>
                <c:ptCount val="15"/>
                <c:pt idx="0">
                  <c:v>0.882215125599217</c:v>
                </c:pt>
                <c:pt idx="1">
                  <c:v>0.77216694362672766</c:v>
                </c:pt>
                <c:pt idx="2">
                  <c:v>0.83802850198780521</c:v>
                </c:pt>
                <c:pt idx="3">
                  <c:v>0.80308724301837842</c:v>
                </c:pt>
                <c:pt idx="4">
                  <c:v>0.76182014849355495</c:v>
                </c:pt>
                <c:pt idx="5">
                  <c:v>0.90215905474755753</c:v>
                </c:pt>
                <c:pt idx="6">
                  <c:v>0.87980456500923787</c:v>
                </c:pt>
                <c:pt idx="7">
                  <c:v>0.89662255093101351</c:v>
                </c:pt>
                <c:pt idx="8">
                  <c:v>1.7898044235778949</c:v>
                </c:pt>
                <c:pt idx="9">
                  <c:v>1.4796945700727073</c:v>
                </c:pt>
                <c:pt idx="10">
                  <c:v>0.77268683790915238</c:v>
                </c:pt>
                <c:pt idx="11">
                  <c:v>1.7136143814488474</c:v>
                </c:pt>
                <c:pt idx="12">
                  <c:v>1.7105602354493705</c:v>
                </c:pt>
                <c:pt idx="13">
                  <c:v>1.1296798888773951</c:v>
                </c:pt>
                <c:pt idx="14">
                  <c:v>0.56434717218551189</c:v>
                </c:pt>
              </c:numCache>
            </c:numRef>
          </c:val>
          <c:smooth val="0"/>
          <c:extLst>
            <c:ext xmlns:c16="http://schemas.microsoft.com/office/drawing/2014/chart" uri="{C3380CC4-5D6E-409C-BE32-E72D297353CC}">
              <c16:uniqueId val="{00000001-9E00-4A41-83F5-9B0C63F62B8C}"/>
            </c:ext>
          </c:extLst>
        </c:ser>
        <c:dLbls>
          <c:showLegendKey val="0"/>
          <c:showVal val="0"/>
          <c:showCatName val="0"/>
          <c:showSerName val="0"/>
          <c:showPercent val="0"/>
          <c:showBubbleSize val="0"/>
        </c:dLbls>
        <c:marker val="1"/>
        <c:smooth val="0"/>
        <c:axId val="943458880"/>
        <c:axId val="1061006328"/>
      </c:lineChart>
      <c:catAx>
        <c:axId val="1061007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061005544"/>
        <c:crosses val="autoZero"/>
        <c:auto val="1"/>
        <c:lblAlgn val="ctr"/>
        <c:lblOffset val="100"/>
        <c:noMultiLvlLbl val="0"/>
      </c:catAx>
      <c:valAx>
        <c:axId val="1061005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solidFill>
                      <a:sysClr val="windowText" lastClr="000000"/>
                    </a:solidFill>
                  </a:rPr>
                  <a:t>Return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061007896"/>
        <c:crosses val="autoZero"/>
        <c:crossBetween val="between"/>
      </c:valAx>
      <c:valAx>
        <c:axId val="1061006328"/>
        <c:scaling>
          <c:orientation val="minMax"/>
          <c:min val="0.30000000000000004"/>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Volatility</a:t>
                </a:r>
              </a:p>
            </c:rich>
          </c:tx>
          <c:layout>
            <c:manualLayout>
              <c:xMode val="edge"/>
              <c:yMode val="edge"/>
              <c:x val="0.95336865014342542"/>
              <c:y val="0.27286682374915566"/>
            </c:manualLayout>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943458880"/>
        <c:crosses val="max"/>
        <c:crossBetween val="between"/>
      </c:valAx>
      <c:catAx>
        <c:axId val="943458880"/>
        <c:scaling>
          <c:orientation val="minMax"/>
        </c:scaling>
        <c:delete val="1"/>
        <c:axPos val="b"/>
        <c:numFmt formatCode="General" sourceLinked="1"/>
        <c:majorTickMark val="out"/>
        <c:minorTickMark val="none"/>
        <c:tickLblPos val="nextTo"/>
        <c:crossAx val="1061006328"/>
        <c:crosses val="autoZero"/>
        <c:auto val="1"/>
        <c:lblAlgn val="ctr"/>
        <c:lblOffset val="100"/>
        <c:noMultiLvlLbl val="0"/>
      </c:catAx>
      <c:spPr>
        <a:noFill/>
        <a:ln w="25400">
          <a:noFill/>
        </a:ln>
        <a:effectLst/>
      </c:spPr>
    </c:plotArea>
    <c:legend>
      <c:legendPos val="b"/>
      <c:layout>
        <c:manualLayout>
          <c:xMode val="edge"/>
          <c:yMode val="edge"/>
          <c:x val="0.33200880828044604"/>
          <c:y val="0.90591875400747135"/>
          <c:w val="0.32390682414698163"/>
          <c:h val="9.03684766676893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bg1">
          <a:lumMod val="50000"/>
        </a:schemeClr>
      </a:solidFill>
      <a:prstDash val="solid"/>
      <a:round/>
    </a:ln>
    <a:effectLst/>
  </c:spPr>
  <c:txPr>
    <a:bodyPr/>
    <a:lstStyle/>
    <a:p>
      <a:pPr>
        <a:defRPr sz="900">
          <a:solidFill>
            <a:sysClr val="windowText" lastClr="000000"/>
          </a:solidFill>
          <a:latin typeface="Palatino Linotype" panose="02040502050505030304" pitchFamily="18" charset="0"/>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38601031514418"/>
          <c:y val="8.7008923884514436E-2"/>
          <c:w val="0.77862415799423679"/>
          <c:h val="0.57727615918875674"/>
        </c:manualLayout>
      </c:layout>
      <c:barChart>
        <c:barDir val="col"/>
        <c:grouping val="clustered"/>
        <c:varyColors val="1"/>
        <c:ser>
          <c:idx val="0"/>
          <c:order val="0"/>
          <c:tx>
            <c:strRef>
              <c:f>'F6'!$D$2</c:f>
              <c:strCache>
                <c:ptCount val="1"/>
                <c:pt idx="0">
                  <c:v>Average Daily Turnover (LHS)</c:v>
                </c:pt>
              </c:strCache>
            </c:strRef>
          </c:tx>
          <c:spPr>
            <a:solidFill>
              <a:srgbClr val="FF0000"/>
            </a:solidFill>
          </c:spPr>
          <c:invertIfNegative val="1"/>
          <c:cat>
            <c:numRef>
              <c:f>'F6'!$A$11:$A$22</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'F6'!$D$11:$D$26</c:f>
              <c:numCache>
                <c:formatCode>[&gt;=10000000]#.##\,##\,##0;[&gt;=100000]#.##\,##0;##,##0</c:formatCode>
                <c:ptCount val="16"/>
                <c:pt idx="0">
                  <c:v>13.742043780750786</c:v>
                </c:pt>
                <c:pt idx="1">
                  <c:v>16.752434265217392</c:v>
                </c:pt>
                <c:pt idx="2">
                  <c:v>17.414393000650001</c:v>
                </c:pt>
                <c:pt idx="3">
                  <c:v>11.7840466028698</c:v>
                </c:pt>
                <c:pt idx="4">
                  <c:v>11.4907658</c:v>
                </c:pt>
                <c:pt idx="5">
                  <c:v>13.0694374</c:v>
                </c:pt>
                <c:pt idx="6">
                  <c:v>16.686263799999999</c:v>
                </c:pt>
                <c:pt idx="7">
                  <c:v>19.102481950051249</c:v>
                </c:pt>
                <c:pt idx="8">
                  <c:v>18.775890234865429</c:v>
                </c:pt>
                <c:pt idx="9">
                  <c:v>21.570235625705259</c:v>
                </c:pt>
                <c:pt idx="10">
                  <c:v>26.324582987257266</c:v>
                </c:pt>
                <c:pt idx="11">
                  <c:v>28.444782670458572</c:v>
                </c:pt>
                <c:pt idx="12">
                  <c:v>0</c:v>
                </c:pt>
                <c:pt idx="13">
                  <c:v>0</c:v>
                </c:pt>
                <c:pt idx="14">
                  <c:v>0</c:v>
                </c:pt>
                <c:pt idx="15">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7A24-44DD-A355-E1342093B5D4}"/>
            </c:ext>
          </c:extLst>
        </c:ser>
        <c:dLbls>
          <c:showLegendKey val="0"/>
          <c:showVal val="0"/>
          <c:showCatName val="0"/>
          <c:showSerName val="0"/>
          <c:showPercent val="0"/>
          <c:showBubbleSize val="0"/>
        </c:dLbls>
        <c:gapWidth val="150"/>
        <c:axId val="945329752"/>
        <c:axId val="945326224"/>
      </c:barChart>
      <c:lineChart>
        <c:grouping val="standard"/>
        <c:varyColors val="0"/>
        <c:ser>
          <c:idx val="1"/>
          <c:order val="1"/>
          <c:tx>
            <c:strRef>
              <c:f>'F6'!$E$2</c:f>
              <c:strCache>
                <c:ptCount val="1"/>
                <c:pt idx="0">
                  <c:v>Monthly Turnover (RHS)</c:v>
                </c:pt>
              </c:strCache>
            </c:strRef>
          </c:tx>
          <c:spPr>
            <a:ln w="19050" cmpd="sng">
              <a:solidFill>
                <a:srgbClr val="00B050"/>
              </a:solidFill>
              <a:prstDash val="solid"/>
            </a:ln>
          </c:spPr>
          <c:marker>
            <c:symbol val="circle"/>
            <c:size val="5"/>
            <c:spPr>
              <a:solidFill>
                <a:srgbClr val="00B050"/>
              </a:solidFill>
              <a:ln cmpd="sng">
                <a:solidFill>
                  <a:srgbClr val="00B050"/>
                </a:solidFill>
              </a:ln>
            </c:spPr>
          </c:marker>
          <c:cat>
            <c:numRef>
              <c:f>'F6'!$A$9:$A$20</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'F6'!$E$9:$E$26</c:f>
              <c:numCache>
                <c:formatCode>[&gt;=10000000]#\,##\,##\,##0;[&gt;=100000]#\,##\,##0;##,##0</c:formatCode>
                <c:ptCount val="18"/>
                <c:pt idx="0">
                  <c:v>294.34096289999997</c:v>
                </c:pt>
                <c:pt idx="1">
                  <c:v>271.30882597711707</c:v>
                </c:pt>
                <c:pt idx="2">
                  <c:v>288.58291939576651</c:v>
                </c:pt>
                <c:pt idx="3">
                  <c:v>385.30598810000004</c:v>
                </c:pt>
                <c:pt idx="4">
                  <c:v>348.287860013</c:v>
                </c:pt>
                <c:pt idx="5">
                  <c:v>247.46497866026593</c:v>
                </c:pt>
                <c:pt idx="6">
                  <c:v>206.83378434861089</c:v>
                </c:pt>
                <c:pt idx="7">
                  <c:v>248.31931028491897</c:v>
                </c:pt>
                <c:pt idx="8" formatCode="[&gt;=10000000]#.##\,##\,##0;[&gt;=100000]#.##\,##0;##,##0">
                  <c:v>367.09780340361169</c:v>
                </c:pt>
                <c:pt idx="9" formatCode="[&gt;=10000000]#.##\,##\,##0;[&gt;=100000]#.##\,##0;##,##0">
                  <c:v>439.35708485117874</c:v>
                </c:pt>
                <c:pt idx="10" formatCode="[&gt;=10000000]#.##\,##\,##0;[&gt;=100000]#.##\,##0;##,##0">
                  <c:v>394.29369493217399</c:v>
                </c:pt>
                <c:pt idx="11" formatCode="[&gt;=10000000]#.##\,##\,##0;[&gt;=100000]#.##\,##0;##,##0">
                  <c:v>474.54518376551567</c:v>
                </c:pt>
                <c:pt idx="12" formatCode="[&gt;=10000000]#.##\,##\,##0;[&gt;=100000]#.##\,##0;##,##0">
                  <c:v>552.81624273240266</c:v>
                </c:pt>
                <c:pt idx="13" formatCode="[&gt;=10000000]#.##\,##\,##0;[&gt;=100000]#.##\,##0;##,##0">
                  <c:v>568.89565340917147</c:v>
                </c:pt>
                <c:pt idx="14" formatCode="[&gt;=10000000]#.##\,##\,##0;[&gt;=100000]#.##\,##0;##,##0">
                  <c:v>0</c:v>
                </c:pt>
                <c:pt idx="15" formatCode="[&gt;=10000000]#.##\,##\,##0;[&gt;=100000]#.##\,##0;##,##0">
                  <c:v>0</c:v>
                </c:pt>
                <c:pt idx="16" formatCode="[&gt;=10000000]#.##\,##\,##0;[&gt;=100000]#.##\,##0;##,##0">
                  <c:v>0</c:v>
                </c:pt>
                <c:pt idx="17" formatCode="[&gt;=10000000]#.##\,##\,##0;[&gt;=100000]#.##\,##0;##,##0">
                  <c:v>0</c:v>
                </c:pt>
              </c:numCache>
            </c:numRef>
          </c:val>
          <c:smooth val="0"/>
          <c:extLst>
            <c:ext xmlns:c16="http://schemas.microsoft.com/office/drawing/2014/chart" uri="{C3380CC4-5D6E-409C-BE32-E72D297353CC}">
              <c16:uniqueId val="{00000001-7A24-44DD-A355-E1342093B5D4}"/>
            </c:ext>
          </c:extLst>
        </c:ser>
        <c:dLbls>
          <c:showLegendKey val="0"/>
          <c:showVal val="0"/>
          <c:showCatName val="0"/>
          <c:showSerName val="0"/>
          <c:showPercent val="0"/>
          <c:showBubbleSize val="0"/>
        </c:dLbls>
        <c:marker val="1"/>
        <c:smooth val="0"/>
        <c:axId val="945323480"/>
        <c:axId val="945330536"/>
      </c:lineChart>
      <c:dateAx>
        <c:axId val="945329752"/>
        <c:scaling>
          <c:orientation val="minMax"/>
        </c:scaling>
        <c:delete val="0"/>
        <c:axPos val="b"/>
        <c:title>
          <c:tx>
            <c:rich>
              <a:bodyPr/>
              <a:lstStyle/>
              <a:p>
                <a:pPr>
                  <a:defRPr/>
                </a:pPr>
                <a:endParaRPr lang="en-IN"/>
              </a:p>
            </c:rich>
          </c:tx>
          <c:overlay val="0"/>
        </c:title>
        <c:numFmt formatCode="[$-409]mmm\-yy" sourceLinked="1"/>
        <c:majorTickMark val="cross"/>
        <c:minorTickMark val="cross"/>
        <c:tickLblPos val="nextTo"/>
        <c:txPr>
          <a:bodyPr rot="-5400000"/>
          <a:lstStyle/>
          <a:p>
            <a:pPr>
              <a:defRPr/>
            </a:pPr>
            <a:endParaRPr lang="en-US"/>
          </a:p>
        </c:txPr>
        <c:crossAx val="945326224"/>
        <c:crosses val="autoZero"/>
        <c:auto val="1"/>
        <c:lblOffset val="100"/>
        <c:baseTimeUnit val="months"/>
      </c:dateAx>
      <c:valAx>
        <c:axId val="945326224"/>
        <c:scaling>
          <c:orientation val="minMax"/>
          <c:min val="10"/>
        </c:scaling>
        <c:delete val="0"/>
        <c:axPos val="l"/>
        <c:minorGridlines>
          <c:spPr>
            <a:ln>
              <a:solidFill>
                <a:srgbClr val="CCCCCC">
                  <a:alpha val="0"/>
                </a:srgbClr>
              </a:solidFill>
            </a:ln>
          </c:spPr>
        </c:minorGridlines>
        <c:title>
          <c:tx>
            <c:rich>
              <a:bodyPr/>
              <a:lstStyle/>
              <a:p>
                <a:pPr>
                  <a:defRPr b="0"/>
                </a:pPr>
                <a:r>
                  <a:rPr lang="en-US" sz="900" b="0" i="0" baseline="0">
                    <a:effectLst/>
                  </a:rPr>
                  <a:t> </a:t>
                </a:r>
                <a:r>
                  <a:rPr lang="en-GB" sz="900" b="0" i="0" baseline="0">
                    <a:effectLst/>
                  </a:rPr>
                  <a:t>₹ </a:t>
                </a:r>
                <a:r>
                  <a:rPr lang="en-US" sz="900" b="0" i="0" baseline="0">
                    <a:effectLst/>
                  </a:rPr>
                  <a:t>Lakh Crore</a:t>
                </a:r>
                <a:endParaRPr lang="en-IN" sz="900" b="0">
                  <a:effectLst/>
                </a:endParaRPr>
              </a:p>
            </c:rich>
          </c:tx>
          <c:layout>
            <c:manualLayout>
              <c:xMode val="edge"/>
              <c:yMode val="edge"/>
              <c:x val="1.045463722629077E-2"/>
              <c:y val="0.32930621847257135"/>
            </c:manualLayout>
          </c:layout>
          <c:overlay val="0"/>
        </c:title>
        <c:numFmt formatCode="[&gt;=10000000]#.##\,##\,##0;[&gt;=100000]#.##\,##0;##,##0" sourceLinked="1"/>
        <c:majorTickMark val="cross"/>
        <c:minorTickMark val="cross"/>
        <c:tickLblPos val="nextTo"/>
        <c:spPr>
          <a:ln w="47625">
            <a:noFill/>
          </a:ln>
        </c:spPr>
        <c:crossAx val="945329752"/>
        <c:crosses val="autoZero"/>
        <c:crossBetween val="between"/>
      </c:valAx>
      <c:dateAx>
        <c:axId val="945323480"/>
        <c:scaling>
          <c:orientation val="minMax"/>
        </c:scaling>
        <c:delete val="1"/>
        <c:axPos val="b"/>
        <c:numFmt formatCode="[$-409]mmm\-yy" sourceLinked="1"/>
        <c:majorTickMark val="cross"/>
        <c:minorTickMark val="cross"/>
        <c:tickLblPos val="nextTo"/>
        <c:crossAx val="945330536"/>
        <c:crosses val="autoZero"/>
        <c:auto val="1"/>
        <c:lblOffset val="100"/>
        <c:baseTimeUnit val="months"/>
      </c:dateAx>
      <c:valAx>
        <c:axId val="945330536"/>
        <c:scaling>
          <c:orientation val="minMax"/>
          <c:min val="160"/>
        </c:scaling>
        <c:delete val="0"/>
        <c:axPos val="r"/>
        <c:majorGridlines>
          <c:spPr>
            <a:ln>
              <a:solidFill>
                <a:srgbClr val="B7B7B7"/>
              </a:solidFill>
            </a:ln>
          </c:spPr>
        </c:majorGridlines>
        <c:minorGridlines>
          <c:spPr>
            <a:ln>
              <a:solidFill>
                <a:srgbClr val="CCCCCC">
                  <a:alpha val="0"/>
                </a:srgbClr>
              </a:solidFill>
            </a:ln>
          </c:spPr>
        </c:minorGridlines>
        <c:title>
          <c:tx>
            <c:rich>
              <a:bodyPr rot="5400000" vert="horz" anchor="ctr" anchorCtr="0"/>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Palatino Linotype" panose="02040502050505030304" pitchFamily="18" charset="0"/>
                    <a:ea typeface="+mn-ea"/>
                    <a:cs typeface="+mn-cs"/>
                  </a:defRPr>
                </a:pPr>
                <a:r>
                  <a:rPr lang="en-US" sz="1800" b="0" i="0" baseline="0">
                    <a:effectLst/>
                  </a:rPr>
                  <a:t> </a:t>
                </a:r>
                <a:r>
                  <a:rPr lang="en-GB" sz="900" b="0" i="0" u="none" strike="noStrike" baseline="0">
                    <a:effectLst/>
                  </a:rPr>
                  <a:t>₹ </a:t>
                </a:r>
                <a:r>
                  <a:rPr lang="en-US" b="0"/>
                  <a:t>Lakh Crore</a:t>
                </a:r>
              </a:p>
            </c:rich>
          </c:tx>
          <c:layout>
            <c:manualLayout>
              <c:xMode val="edge"/>
              <c:yMode val="edge"/>
              <c:x val="0.93639850962685611"/>
              <c:y val="0.2981913814568683"/>
            </c:manualLayout>
          </c:layout>
          <c:overlay val="0"/>
        </c:title>
        <c:numFmt formatCode="[&gt;=10000000]#\,##\,##\,##0;[&gt;=100000]#\,##\,##0;##,##0" sourceLinked="1"/>
        <c:majorTickMark val="cross"/>
        <c:minorTickMark val="cross"/>
        <c:tickLblPos val="nextTo"/>
        <c:spPr>
          <a:ln w="47625">
            <a:noFill/>
          </a:ln>
        </c:spPr>
        <c:crossAx val="945323480"/>
        <c:crosses val="max"/>
        <c:crossBetween val="between"/>
      </c:val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9694970561113"/>
          <c:y val="5.0925925925925923E-2"/>
          <c:w val="0.83577782506916365"/>
          <c:h val="0.82032315727975869"/>
        </c:manualLayout>
      </c:layout>
      <c:barChart>
        <c:barDir val="bar"/>
        <c:grouping val="clustered"/>
        <c:varyColors val="1"/>
        <c:ser>
          <c:idx val="0"/>
          <c:order val="0"/>
          <c:tx>
            <c:strRef>
              <c:f>'F7'!$G$25</c:f>
              <c:strCache>
                <c:ptCount val="1"/>
                <c:pt idx="0">
                  <c:v>Apr-20</c:v>
                </c:pt>
              </c:strCache>
            </c:strRef>
          </c:tx>
          <c:spPr>
            <a:solidFill>
              <a:srgbClr val="FF0000"/>
            </a:solidFill>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'F7'!$H$22:$J$22</c:f>
              <c:strCache>
                <c:ptCount val="3"/>
                <c:pt idx="0">
                  <c:v>Weekly</c:v>
                </c:pt>
                <c:pt idx="1">
                  <c:v>1 Month</c:v>
                </c:pt>
                <c:pt idx="2">
                  <c:v>&gt; 1 Month</c:v>
                </c:pt>
              </c:strCache>
            </c:strRef>
          </c:cat>
          <c:val>
            <c:numRef>
              <c:f>'F7'!$H$25:$J$25</c:f>
              <c:numCache>
                <c:formatCode>0.0%</c:formatCode>
                <c:ptCount val="3"/>
                <c:pt idx="0">
                  <c:v>0.68170751122271411</c:v>
                </c:pt>
                <c:pt idx="1">
                  <c:v>0.31003177992745701</c:v>
                </c:pt>
                <c:pt idx="2">
                  <c:v>8.2607088498288118E-3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2768-49CF-AFAC-0BFA8F786FA4}"/>
            </c:ext>
          </c:extLst>
        </c:ser>
        <c:ser>
          <c:idx val="1"/>
          <c:order val="1"/>
          <c:tx>
            <c:strRef>
              <c:f>'F7'!$G$26</c:f>
              <c:strCache>
                <c:ptCount val="1"/>
                <c:pt idx="0">
                  <c:v>May-20</c:v>
                </c:pt>
              </c:strCache>
            </c:strRef>
          </c:tx>
          <c:spPr>
            <a:solidFill>
              <a:srgbClr val="00B050"/>
            </a:solidFill>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'F7'!$H$22:$J$22</c:f>
              <c:strCache>
                <c:ptCount val="3"/>
                <c:pt idx="0">
                  <c:v>Weekly</c:v>
                </c:pt>
                <c:pt idx="1">
                  <c:v>1 Month</c:v>
                </c:pt>
                <c:pt idx="2">
                  <c:v>&gt; 1 Month</c:v>
                </c:pt>
              </c:strCache>
            </c:strRef>
          </c:cat>
          <c:val>
            <c:numRef>
              <c:f>'F7'!$H$26:$J$26</c:f>
              <c:numCache>
                <c:formatCode>0.0%</c:formatCode>
                <c:ptCount val="3"/>
                <c:pt idx="0">
                  <c:v>0.70791143061273143</c:v>
                </c:pt>
                <c:pt idx="1">
                  <c:v>0.2842029978974609</c:v>
                </c:pt>
                <c:pt idx="2">
                  <c:v>7.8855714898076659E-3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2768-49CF-AFAC-0BFA8F786FA4}"/>
            </c:ext>
          </c:extLst>
        </c:ser>
        <c:ser>
          <c:idx val="2"/>
          <c:order val="2"/>
          <c:tx>
            <c:strRef>
              <c:f>'F7'!$G$27</c:f>
              <c:strCache>
                <c:ptCount val="1"/>
                <c:pt idx="0">
                  <c:v>Jun-20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'F7'!$H$22:$J$22</c:f>
              <c:strCache>
                <c:ptCount val="3"/>
                <c:pt idx="0">
                  <c:v>Weekly</c:v>
                </c:pt>
                <c:pt idx="1">
                  <c:v>1 Month</c:v>
                </c:pt>
                <c:pt idx="2">
                  <c:v>&gt; 1 Month</c:v>
                </c:pt>
              </c:strCache>
            </c:strRef>
          </c:cat>
          <c:val>
            <c:numRef>
              <c:f>'F7'!$H$27:$J$27</c:f>
              <c:numCache>
                <c:formatCode>0.0%</c:formatCode>
                <c:ptCount val="3"/>
                <c:pt idx="0">
                  <c:v>0.68514872675169414</c:v>
                </c:pt>
                <c:pt idx="1">
                  <c:v>0.30706093786169325</c:v>
                </c:pt>
                <c:pt idx="2">
                  <c:v>7.7903353866125066E-3</c:v>
                </c:pt>
              </c:numCache>
            </c:numRef>
          </c:val>
          <c:extLst>
            <c:ext xmlns:c16="http://schemas.microsoft.com/office/drawing/2014/chart" uri="{C3380CC4-5D6E-409C-BE32-E72D297353CC}">
              <c16:uniqueId val="{00000002-2768-49CF-AFAC-0BFA8F786FA4}"/>
            </c:ext>
          </c:extLst>
        </c:ser>
        <c:ser>
          <c:idx val="3"/>
          <c:order val="3"/>
          <c:tx>
            <c:strRef>
              <c:f>'F7'!$G$28</c:f>
              <c:strCache>
                <c:ptCount val="1"/>
                <c:pt idx="0">
                  <c:v>Jul-20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'F7'!$H$22:$J$22</c:f>
              <c:strCache>
                <c:ptCount val="3"/>
                <c:pt idx="0">
                  <c:v>Weekly</c:v>
                </c:pt>
                <c:pt idx="1">
                  <c:v>1 Month</c:v>
                </c:pt>
                <c:pt idx="2">
                  <c:v>&gt; 1 Month</c:v>
                </c:pt>
              </c:strCache>
            </c:strRef>
          </c:cat>
          <c:val>
            <c:numRef>
              <c:f>'F7'!$H$28:$J$28</c:f>
              <c:numCache>
                <c:formatCode>0.0%</c:formatCode>
                <c:ptCount val="3"/>
                <c:pt idx="0">
                  <c:v>0.72947482128821906</c:v>
                </c:pt>
                <c:pt idx="1">
                  <c:v>0.26307076232624588</c:v>
                </c:pt>
                <c:pt idx="2">
                  <c:v>7.4544163855349756E-3</c:v>
                </c:pt>
              </c:numCache>
            </c:numRef>
          </c:val>
          <c:extLst>
            <c:ext xmlns:c16="http://schemas.microsoft.com/office/drawing/2014/chart" uri="{C3380CC4-5D6E-409C-BE32-E72D297353CC}">
              <c16:uniqueId val="{00000003-2768-49CF-AFAC-0BFA8F786FA4}"/>
            </c:ext>
          </c:extLst>
        </c:ser>
        <c:ser>
          <c:idx val="4"/>
          <c:order val="4"/>
          <c:tx>
            <c:strRef>
              <c:f>'F7'!$G$29</c:f>
              <c:strCache>
                <c:ptCount val="1"/>
                <c:pt idx="0">
                  <c:v>Aug-20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'F7'!$H$22:$J$22</c:f>
              <c:strCache>
                <c:ptCount val="3"/>
                <c:pt idx="0">
                  <c:v>Weekly</c:v>
                </c:pt>
                <c:pt idx="1">
                  <c:v>1 Month</c:v>
                </c:pt>
                <c:pt idx="2">
                  <c:v>&gt; 1 Month</c:v>
                </c:pt>
              </c:strCache>
            </c:strRef>
          </c:cat>
          <c:val>
            <c:numRef>
              <c:f>'F7'!$H$29:$J$29</c:f>
              <c:numCache>
                <c:formatCode>0.0%</c:formatCode>
                <c:ptCount val="3"/>
                <c:pt idx="0">
                  <c:v>0.73442156433141415</c:v>
                </c:pt>
                <c:pt idx="1">
                  <c:v>0.25810189065830375</c:v>
                </c:pt>
                <c:pt idx="2">
                  <c:v>7.4765450102821582E-3</c:v>
                </c:pt>
              </c:numCache>
            </c:numRef>
          </c:val>
          <c:extLst>
            <c:ext xmlns:c16="http://schemas.microsoft.com/office/drawing/2014/chart" uri="{C3380CC4-5D6E-409C-BE32-E72D297353CC}">
              <c16:uniqueId val="{00000004-2768-49CF-AFAC-0BFA8F786FA4}"/>
            </c:ext>
          </c:extLst>
        </c:ser>
        <c:ser>
          <c:idx val="5"/>
          <c:order val="5"/>
          <c:tx>
            <c:strRef>
              <c:f>'F7'!$G$30</c:f>
              <c:strCache>
                <c:ptCount val="1"/>
                <c:pt idx="0">
                  <c:v>Sep-20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'F7'!$H$22:$J$22</c:f>
              <c:strCache>
                <c:ptCount val="3"/>
                <c:pt idx="0">
                  <c:v>Weekly</c:v>
                </c:pt>
                <c:pt idx="1">
                  <c:v>1 Month</c:v>
                </c:pt>
                <c:pt idx="2">
                  <c:v>&gt; 1 Month</c:v>
                </c:pt>
              </c:strCache>
            </c:strRef>
          </c:cat>
          <c:val>
            <c:numRef>
              <c:f>'F7'!$H$30:$J$30</c:f>
              <c:numCache>
                <c:formatCode>0.0%</c:formatCode>
                <c:ptCount val="3"/>
                <c:pt idx="0">
                  <c:v>0.72598987145966887</c:v>
                </c:pt>
                <c:pt idx="1">
                  <c:v>0.26670947590780114</c:v>
                </c:pt>
                <c:pt idx="2">
                  <c:v>7.3006526325299975E-3</c:v>
                </c:pt>
              </c:numCache>
            </c:numRef>
          </c:val>
          <c:extLst>
            <c:ext xmlns:c16="http://schemas.microsoft.com/office/drawing/2014/chart" uri="{C3380CC4-5D6E-409C-BE32-E72D297353CC}">
              <c16:uniqueId val="{00000005-2768-49CF-AFAC-0BFA8F786FA4}"/>
            </c:ext>
          </c:extLst>
        </c:ser>
        <c:ser>
          <c:idx val="6"/>
          <c:order val="6"/>
          <c:tx>
            <c:strRef>
              <c:f>'F7'!$G$31</c:f>
              <c:strCache>
                <c:ptCount val="1"/>
                <c:pt idx="0">
                  <c:v>Oct-20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'F7'!$H$22:$J$22</c:f>
              <c:strCache>
                <c:ptCount val="3"/>
                <c:pt idx="0">
                  <c:v>Weekly</c:v>
                </c:pt>
                <c:pt idx="1">
                  <c:v>1 Month</c:v>
                </c:pt>
                <c:pt idx="2">
                  <c:v>&gt; 1 Month</c:v>
                </c:pt>
              </c:strCache>
            </c:strRef>
          </c:cat>
          <c:val>
            <c:numRef>
              <c:f>'F7'!$H$31:$J$31</c:f>
              <c:numCache>
                <c:formatCode>0.0%</c:formatCode>
                <c:ptCount val="3"/>
                <c:pt idx="0">
                  <c:v>0.73147146397899088</c:v>
                </c:pt>
                <c:pt idx="1">
                  <c:v>0.26262507496573528</c:v>
                </c:pt>
                <c:pt idx="2">
                  <c:v>5.9034610552737713E-3</c:v>
                </c:pt>
              </c:numCache>
            </c:numRef>
          </c:val>
          <c:extLst>
            <c:ext xmlns:c16="http://schemas.microsoft.com/office/drawing/2014/chart" uri="{C3380CC4-5D6E-409C-BE32-E72D297353CC}">
              <c16:uniqueId val="{00000006-2768-49CF-AFAC-0BFA8F786FA4}"/>
            </c:ext>
          </c:extLst>
        </c:ser>
        <c:ser>
          <c:idx val="7"/>
          <c:order val="7"/>
          <c:tx>
            <c:strRef>
              <c:f>'F7'!$G$32</c:f>
              <c:strCache>
                <c:ptCount val="1"/>
                <c:pt idx="0">
                  <c:v>Nov-20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'F7'!$H$22:$J$22</c:f>
              <c:strCache>
                <c:ptCount val="3"/>
                <c:pt idx="0">
                  <c:v>Weekly</c:v>
                </c:pt>
                <c:pt idx="1">
                  <c:v>1 Month</c:v>
                </c:pt>
                <c:pt idx="2">
                  <c:v>&gt; 1 Month</c:v>
                </c:pt>
              </c:strCache>
            </c:strRef>
          </c:cat>
          <c:val>
            <c:numRef>
              <c:f>'F7'!$H$32:$J$32</c:f>
              <c:numCache>
                <c:formatCode>0.0%</c:formatCode>
                <c:ptCount val="3"/>
                <c:pt idx="0">
                  <c:v>0.67010595445237997</c:v>
                </c:pt>
                <c:pt idx="1">
                  <c:v>0.32268827176827891</c:v>
                </c:pt>
                <c:pt idx="2">
                  <c:v>7.2057737793411502E-3</c:v>
                </c:pt>
              </c:numCache>
            </c:numRef>
          </c:val>
          <c:extLst>
            <c:ext xmlns:c16="http://schemas.microsoft.com/office/drawing/2014/chart" uri="{C3380CC4-5D6E-409C-BE32-E72D297353CC}">
              <c16:uniqueId val="{00000007-2768-49CF-AFAC-0BFA8F786FA4}"/>
            </c:ext>
          </c:extLst>
        </c:ser>
        <c:dLbls>
          <c:dLblPos val="outEnd"/>
          <c:showLegendKey val="0"/>
          <c:showVal val="1"/>
          <c:showCatName val="0"/>
          <c:showSerName val="0"/>
          <c:showPercent val="0"/>
          <c:showBubbleSize val="0"/>
        </c:dLbls>
        <c:gapWidth val="128"/>
        <c:overlap val="-50"/>
        <c:axId val="945323872"/>
        <c:axId val="945327008"/>
      </c:barChart>
      <c:catAx>
        <c:axId val="945323872"/>
        <c:scaling>
          <c:orientation val="maxMin"/>
        </c:scaling>
        <c:delete val="0"/>
        <c:axPos val="l"/>
        <c:title>
          <c:tx>
            <c:rich>
              <a:bodyPr/>
              <a:lstStyle/>
              <a:p>
                <a:pPr>
                  <a:defRPr/>
                </a:pPr>
                <a:endParaRPr lang="en-US"/>
              </a:p>
            </c:rich>
          </c:tx>
          <c:overlay val="0"/>
        </c:title>
        <c:numFmt formatCode="General" sourceLinked="1"/>
        <c:majorTickMark val="cross"/>
        <c:minorTickMark val="cross"/>
        <c:tickLblPos val="nextTo"/>
        <c:crossAx val="945327008"/>
        <c:crosses val="autoZero"/>
        <c:auto val="1"/>
        <c:lblAlgn val="ctr"/>
        <c:lblOffset val="100"/>
        <c:noMultiLvlLbl val="1"/>
      </c:catAx>
      <c:valAx>
        <c:axId val="945327008"/>
        <c:scaling>
          <c:orientation val="minMax"/>
        </c:scaling>
        <c:delete val="1"/>
        <c:axPos val="b"/>
        <c:minorGridlines>
          <c:spPr>
            <a:ln>
              <a:solidFill>
                <a:srgbClr val="CCCCCC">
                  <a:alpha val="0"/>
                </a:srgbClr>
              </a:solidFill>
            </a:ln>
          </c:spPr>
        </c:minorGridlines>
        <c:title>
          <c:tx>
            <c:rich>
              <a:bodyPr/>
              <a:lstStyle/>
              <a:p>
                <a:pPr>
                  <a:defRPr/>
                </a:pPr>
                <a:endParaRPr lang="en-US"/>
              </a:p>
            </c:rich>
          </c:tx>
          <c:overlay val="0"/>
        </c:title>
        <c:numFmt formatCode="0.0%" sourceLinked="1"/>
        <c:majorTickMark val="cross"/>
        <c:minorTickMark val="cross"/>
        <c:tickLblPos val="nextTo"/>
        <c:crossAx val="945323872"/>
        <c:crosses val="max"/>
        <c:crossBetween val="between"/>
      </c:valAx>
    </c:plotArea>
    <c:legend>
      <c:legendPos val="b"/>
      <c:overlay val="0"/>
    </c:legend>
    <c:plotVisOnly val="1"/>
    <c:dispBlanksAs val="zero"/>
    <c:showDLblsOverMax val="1"/>
  </c:chart>
  <c:spPr>
    <a:solidFill>
      <a:schemeClr val="lt1"/>
    </a:solidFill>
    <a:ln w="9525" cap="flat" cmpd="sng" algn="ctr">
      <a:solidFill>
        <a:schemeClr val="bg1">
          <a:lumMod val="50000"/>
        </a:schemeClr>
      </a:solidFill>
      <a:prstDash val="solid"/>
    </a:ln>
    <a:effectLst/>
  </c:spPr>
  <c:txPr>
    <a:bodyPr/>
    <a:lstStyle/>
    <a:p>
      <a:pPr>
        <a:defRPr sz="900">
          <a:solidFill>
            <a:schemeClr val="dk1"/>
          </a:solidFill>
          <a:latin typeface="Palatino Linotype" panose="02040502050505030304" pitchFamily="18" charset="0"/>
          <a:ea typeface="+mn-ea"/>
          <a:cs typeface="+mn-cs"/>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6127355939804"/>
          <c:y val="7.0317346695299446E-2"/>
          <c:w val="0.72023002149856896"/>
          <c:h val="0.63930838190680706"/>
        </c:manualLayout>
      </c:layout>
      <c:lineChart>
        <c:grouping val="standard"/>
        <c:varyColors val="0"/>
        <c:ser>
          <c:idx val="0"/>
          <c:order val="0"/>
          <c:tx>
            <c:strRef>
              <c:f>'F8'!$B$4</c:f>
              <c:strCache>
                <c:ptCount val="1"/>
                <c:pt idx="0">
                  <c:v>NSE (LHS)</c:v>
                </c:pt>
              </c:strCache>
            </c:strRef>
          </c:tx>
          <c:spPr>
            <a:ln w="19050" cmpd="sng">
              <a:solidFill>
                <a:srgbClr val="FF0000"/>
              </a:solidFill>
              <a:prstDash val="solid"/>
            </a:ln>
          </c:spPr>
          <c:marker>
            <c:symbol val="circle"/>
            <c:size val="5"/>
            <c:spPr>
              <a:solidFill>
                <a:srgbClr val="FF0000"/>
              </a:solidFill>
              <a:ln cmpd="sng">
                <a:solidFill>
                  <a:srgbClr val="FF0000"/>
                </a:solidFill>
              </a:ln>
            </c:spPr>
          </c:marker>
          <c:cat>
            <c:numRef>
              <c:f>'F8'!$A$13:$A$24</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'F8'!$B$12:$B$23</c:f>
              <c:numCache>
                <c:formatCode>0\,00\,000;\-0\,00\,000;0</c:formatCode>
                <c:ptCount val="12"/>
                <c:pt idx="0">
                  <c:v>763426.91760000004</c:v>
                </c:pt>
                <c:pt idx="1">
                  <c:v>797945.38289999997</c:v>
                </c:pt>
                <c:pt idx="2">
                  <c:v>845443.09140000003</c:v>
                </c:pt>
                <c:pt idx="3">
                  <c:v>788012.82889999996</c:v>
                </c:pt>
                <c:pt idx="4">
                  <c:v>1231222.4816374592</c:v>
                </c:pt>
                <c:pt idx="5">
                  <c:v>696282.45724269352</c:v>
                </c:pt>
                <c:pt idx="6" formatCode="[&gt;=10000000]#\,##\,##\,##0;[&gt;=100000]#\,##\,##0;##,##0">
                  <c:v>729527.23581414134</c:v>
                </c:pt>
                <c:pt idx="7" formatCode="[&gt;=10000000]#\,##\,##\,##0;[&gt;=100000]#\,##\,##0;##,##0">
                  <c:v>949170.06959089276</c:v>
                </c:pt>
                <c:pt idx="8" formatCode="[&gt;=10000000]#\,##\,##\,##0;[&gt;=100000]#\,##\,##0;##,##0">
                  <c:v>943395.67188321159</c:v>
                </c:pt>
                <c:pt idx="9" formatCode="[&gt;=10000000]#\,##\,##\,##0;[&gt;=100000]#\,##\,##0;##,##0">
                  <c:v>976864.32951144269</c:v>
                </c:pt>
                <c:pt idx="10" formatCode="[&gt;=10000000]#\,##\,##\,##0;[&gt;=100000]#\,##\,##0;##,##0">
                  <c:v>1120073.5900000001</c:v>
                </c:pt>
                <c:pt idx="11" formatCode="[&gt;=10000000]#\,##\,##\,##0;[&gt;=100000]#\,##\,##0;##,##0">
                  <c:v>977668.28209999995</c:v>
                </c:pt>
              </c:numCache>
            </c:numRef>
          </c:val>
          <c:smooth val="0"/>
          <c:extLst>
            <c:ext xmlns:c16="http://schemas.microsoft.com/office/drawing/2014/chart" uri="{C3380CC4-5D6E-409C-BE32-E72D297353CC}">
              <c16:uniqueId val="{00000000-5527-4C79-82B8-CE36119109AF}"/>
            </c:ext>
          </c:extLst>
        </c:ser>
        <c:ser>
          <c:idx val="1"/>
          <c:order val="1"/>
          <c:tx>
            <c:strRef>
              <c:f>'F8'!$D$4</c:f>
              <c:strCache>
                <c:ptCount val="1"/>
                <c:pt idx="0">
                  <c:v>BSE  (LHS)</c:v>
                </c:pt>
              </c:strCache>
            </c:strRef>
          </c:tx>
          <c:spPr>
            <a:ln w="19050" cmpd="sng">
              <a:solidFill>
                <a:srgbClr val="7030A0"/>
              </a:solidFill>
              <a:prstDash val="solid"/>
            </a:ln>
          </c:spPr>
          <c:marker>
            <c:symbol val="circle"/>
            <c:size val="5"/>
            <c:spPr>
              <a:solidFill>
                <a:srgbClr val="7030A0"/>
              </a:solidFill>
              <a:ln cmpd="sng">
                <a:solidFill>
                  <a:srgbClr val="7030A0"/>
                </a:solidFill>
              </a:ln>
            </c:spPr>
          </c:marker>
          <c:cat>
            <c:numRef>
              <c:f>'F8'!$A$13:$A$24</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'F8'!$D$13:$D$24</c:f>
              <c:numCache>
                <c:formatCode>0\,00\,000;\-0\,00\,000;0</c:formatCode>
                <c:ptCount val="12"/>
                <c:pt idx="0">
                  <c:v>564691.59349999996</c:v>
                </c:pt>
                <c:pt idx="1">
                  <c:v>482786.31690000009</c:v>
                </c:pt>
                <c:pt idx="2">
                  <c:v>439995.65480000008</c:v>
                </c:pt>
                <c:pt idx="3">
                  <c:v>471806.4</c:v>
                </c:pt>
                <c:pt idx="4" formatCode="[&gt;=10000000]#\,##\,##\,##0;[&gt;=100000]#\,##\,##0;##,##0">
                  <c:v>271144.38</c:v>
                </c:pt>
                <c:pt idx="5" formatCode="[&gt;=10000000]#\,##\,##\,##0;[&gt;=100000]#\,##\,##0;##,##0">
                  <c:v>306144.90000000002</c:v>
                </c:pt>
                <c:pt idx="6" formatCode="[&gt;=10000000]#\,##\,##\,##0;[&gt;=100000]#\,##\,##0;##,##0">
                  <c:v>467245.2</c:v>
                </c:pt>
                <c:pt idx="7" formatCode="[&gt;=10000000]#\,##\,##\,##0;[&gt;=100000]#\,##\,##0;##,##0">
                  <c:v>437166.34</c:v>
                </c:pt>
                <c:pt idx="8" formatCode="[&gt;=10000000]#\,##\,##\,##0;[&gt;=100000]#\,##\,##0;##,##0">
                  <c:v>451790.26</c:v>
                </c:pt>
                <c:pt idx="9" formatCode="[&gt;=10000000]#\,##\,##\,##0;[&gt;=100000]#\,##\,##0;##,##0">
                  <c:v>429477.39090000006</c:v>
                </c:pt>
                <c:pt idx="10" formatCode="[&gt;=10000000]#\,##\,##\,##0;[&gt;=100000]#\,##\,##0;##,##0">
                  <c:v>408890.7488</c:v>
                </c:pt>
                <c:pt idx="11" formatCode="[&gt;=10000000]#\,##\,##\,##0;[&gt;=100000]#\,##\,##0;##,##0">
                  <c:v>402246.89210000006</c:v>
                </c:pt>
              </c:numCache>
            </c:numRef>
          </c:val>
          <c:smooth val="0"/>
          <c:extLst>
            <c:ext xmlns:c16="http://schemas.microsoft.com/office/drawing/2014/chart" uri="{C3380CC4-5D6E-409C-BE32-E72D297353CC}">
              <c16:uniqueId val="{00000001-5527-4C79-82B8-CE36119109AF}"/>
            </c:ext>
          </c:extLst>
        </c:ser>
        <c:dLbls>
          <c:showLegendKey val="0"/>
          <c:showVal val="0"/>
          <c:showCatName val="0"/>
          <c:showSerName val="0"/>
          <c:showPercent val="0"/>
          <c:showBubbleSize val="0"/>
        </c:dLbls>
        <c:marker val="1"/>
        <c:smooth val="0"/>
        <c:axId val="945327792"/>
        <c:axId val="945328968"/>
      </c:lineChart>
      <c:lineChart>
        <c:grouping val="standard"/>
        <c:varyColors val="0"/>
        <c:ser>
          <c:idx val="2"/>
          <c:order val="2"/>
          <c:tx>
            <c:strRef>
              <c:f>'F8'!$C$4</c:f>
              <c:strCache>
                <c:ptCount val="1"/>
                <c:pt idx="0">
                  <c:v>MSEI (RHS)</c:v>
                </c:pt>
              </c:strCache>
            </c:strRef>
          </c:tx>
          <c:spPr>
            <a:ln w="19050" cmpd="sng">
              <a:solidFill>
                <a:srgbClr val="00B050"/>
              </a:solidFill>
              <a:prstDash val="solid"/>
            </a:ln>
          </c:spPr>
          <c:marker>
            <c:symbol val="circle"/>
            <c:size val="5"/>
            <c:spPr>
              <a:solidFill>
                <a:srgbClr val="00B050"/>
              </a:solidFill>
              <a:ln cmpd="sng">
                <a:solidFill>
                  <a:srgbClr val="00B050"/>
                </a:solidFill>
              </a:ln>
            </c:spPr>
          </c:marker>
          <c:cat>
            <c:numRef>
              <c:f>'F8'!$A$13:$A$24</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'F8'!$C$13:$C$24</c:f>
              <c:numCache>
                <c:formatCode>#,##0;\-#,##0;0</c:formatCode>
                <c:ptCount val="12"/>
                <c:pt idx="0">
                  <c:v>6258.9968397499997</c:v>
                </c:pt>
                <c:pt idx="1">
                  <c:v>5956.6478307500001</c:v>
                </c:pt>
                <c:pt idx="2">
                  <c:v>5313.5327112499999</c:v>
                </c:pt>
                <c:pt idx="3">
                  <c:v>6404.1278092499997</c:v>
                </c:pt>
                <c:pt idx="4" formatCode="[&gt;=10000000]#\,##\,##\,##0;[&gt;=100000]#\,##\,##0;##,##0">
                  <c:v>1785.2814207500001</c:v>
                </c:pt>
                <c:pt idx="5" formatCode="[&gt;=10000000]#\,##\,##\,##0;[&gt;=100000]#\,##\,##0;##,##0">
                  <c:v>1702.4234337499997</c:v>
                </c:pt>
                <c:pt idx="6" formatCode="[&gt;=10000000]#\,##\,##\,##0;[&gt;=100000]#\,##\,##0;##,##0">
                  <c:v>2854.2512265</c:v>
                </c:pt>
                <c:pt idx="7" formatCode="[&gt;=10000000]#\,##\,##\,##0;[&gt;=100000]#\,##\,##0;##,##0">
                  <c:v>4064.4222235000007</c:v>
                </c:pt>
                <c:pt idx="8" formatCode="[&gt;=10000000]#\,##\,##\,##0;[&gt;=100000]#\,##\,##0;##,##0">
                  <c:v>5291.3987129999996</c:v>
                </c:pt>
                <c:pt idx="9" formatCode="[&gt;=10000000]#\,##\,##\,##0;[&gt;=100000]#\,##\,##0;##,##0">
                  <c:v>6888.6162975000007</c:v>
                </c:pt>
                <c:pt idx="10" formatCode="[&gt;=10000000]#\,##\,##\,##0;[&gt;=100000]#\,##\,##0;##,##0">
                  <c:v>9075.2012660000019</c:v>
                </c:pt>
                <c:pt idx="11" formatCode="[&gt;=10000000]#\,##\,##\,##0;[&gt;=100000]#\,##\,##0;##,##0">
                  <c:v>12344.712834499998</c:v>
                </c:pt>
              </c:numCache>
            </c:numRef>
          </c:val>
          <c:smooth val="0"/>
          <c:extLst>
            <c:ext xmlns:c16="http://schemas.microsoft.com/office/drawing/2014/chart" uri="{C3380CC4-5D6E-409C-BE32-E72D297353CC}">
              <c16:uniqueId val="{00000002-5527-4C79-82B8-CE36119109AF}"/>
            </c:ext>
          </c:extLst>
        </c:ser>
        <c:dLbls>
          <c:showLegendKey val="0"/>
          <c:showVal val="0"/>
          <c:showCatName val="0"/>
          <c:showSerName val="0"/>
          <c:showPercent val="0"/>
          <c:showBubbleSize val="0"/>
        </c:dLbls>
        <c:marker val="1"/>
        <c:smooth val="0"/>
        <c:axId val="945324264"/>
        <c:axId val="945328184"/>
      </c:lineChart>
      <c:dateAx>
        <c:axId val="945327792"/>
        <c:scaling>
          <c:orientation val="minMax"/>
        </c:scaling>
        <c:delete val="0"/>
        <c:axPos val="b"/>
        <c:numFmt formatCode="[$-409]mmm\-yy" sourceLinked="1"/>
        <c:majorTickMark val="cross"/>
        <c:minorTickMark val="cross"/>
        <c:tickLblPos val="nextTo"/>
        <c:txPr>
          <a:bodyPr rot="-5400000"/>
          <a:lstStyle/>
          <a:p>
            <a:pPr>
              <a:defRPr/>
            </a:pPr>
            <a:endParaRPr lang="en-US"/>
          </a:p>
        </c:txPr>
        <c:crossAx val="945328968"/>
        <c:crosses val="autoZero"/>
        <c:auto val="1"/>
        <c:lblOffset val="100"/>
        <c:baseTimeUnit val="months"/>
      </c:dateAx>
      <c:valAx>
        <c:axId val="945328968"/>
        <c:scaling>
          <c:orientation val="minMax"/>
        </c:scaling>
        <c:delete val="0"/>
        <c:axPos val="l"/>
        <c:majorGridlines>
          <c:spPr>
            <a:ln>
              <a:solidFill>
                <a:schemeClr val="bg1">
                  <a:lumMod val="65000"/>
                </a:schemeClr>
              </a:solidFill>
            </a:ln>
          </c:spPr>
        </c:majorGridlines>
        <c:minorGridlines>
          <c:spPr>
            <a:ln>
              <a:solidFill>
                <a:schemeClr val="bg1">
                  <a:lumMod val="85000"/>
                  <a:alpha val="37000"/>
                </a:schemeClr>
              </a:solidFill>
            </a:ln>
          </c:spPr>
        </c:minorGridlines>
        <c:title>
          <c:tx>
            <c:rich>
              <a:bodyPr/>
              <a:lstStyle/>
              <a:p>
                <a:pPr>
                  <a:defRPr b="0"/>
                </a:pPr>
                <a:r>
                  <a:rPr lang="en-GB" b="0"/>
                  <a:t>₹</a:t>
                </a:r>
                <a:r>
                  <a:rPr lang="en-US" b="0"/>
                  <a:t> crore</a:t>
                </a:r>
              </a:p>
            </c:rich>
          </c:tx>
          <c:layout>
            <c:manualLayout>
              <c:xMode val="edge"/>
              <c:yMode val="edge"/>
              <c:x val="1.7205010177747882E-2"/>
              <c:y val="0.35430037154446609"/>
            </c:manualLayout>
          </c:layout>
          <c:overlay val="0"/>
        </c:title>
        <c:numFmt formatCode="0\,00\,000;\-0\,00\,000;0" sourceLinked="1"/>
        <c:majorTickMark val="cross"/>
        <c:minorTickMark val="cross"/>
        <c:tickLblPos val="nextTo"/>
        <c:spPr>
          <a:ln w="47625">
            <a:noFill/>
          </a:ln>
        </c:spPr>
        <c:crossAx val="945327792"/>
        <c:crosses val="autoZero"/>
        <c:crossBetween val="between"/>
        <c:majorUnit val="200000"/>
        <c:minorUnit val="20000"/>
      </c:valAx>
      <c:valAx>
        <c:axId val="945328184"/>
        <c:scaling>
          <c:orientation val="minMax"/>
        </c:scaling>
        <c:delete val="0"/>
        <c:axPos val="r"/>
        <c:title>
          <c:tx>
            <c:rich>
              <a:bodyPr rot="5400000" vert="horz"/>
              <a:lstStyle/>
              <a:p>
                <a:pPr>
                  <a:defRPr/>
                </a:pPr>
                <a:r>
                  <a:rPr lang="en-GB" sz="900" b="0" i="0" u="none" strike="noStrike" baseline="0">
                    <a:effectLst/>
                  </a:rPr>
                  <a:t>₹ </a:t>
                </a:r>
                <a:r>
                  <a:rPr lang="en-US" sz="900" b="0" i="0" u="none" strike="noStrike" baseline="0">
                    <a:effectLst/>
                  </a:rPr>
                  <a:t>crore</a:t>
                </a:r>
                <a:endParaRPr lang="en-IN"/>
              </a:p>
            </c:rich>
          </c:tx>
          <c:overlay val="0"/>
        </c:title>
        <c:numFmt formatCode="#,##0;\-#,##0;0" sourceLinked="1"/>
        <c:majorTickMark val="out"/>
        <c:minorTickMark val="none"/>
        <c:tickLblPos val="nextTo"/>
        <c:crossAx val="945324264"/>
        <c:crosses val="max"/>
        <c:crossBetween val="between"/>
        <c:majorUnit val="2000"/>
      </c:valAx>
      <c:dateAx>
        <c:axId val="945324264"/>
        <c:scaling>
          <c:orientation val="minMax"/>
        </c:scaling>
        <c:delete val="1"/>
        <c:axPos val="b"/>
        <c:numFmt formatCode="[$-409]mmm\-yy" sourceLinked="1"/>
        <c:majorTickMark val="out"/>
        <c:minorTickMark val="none"/>
        <c:tickLblPos val="nextTo"/>
        <c:crossAx val="945328184"/>
        <c:crosses val="autoZero"/>
        <c:auto val="1"/>
        <c:lblOffset val="100"/>
        <c:baseTimeUnit val="months"/>
        <c:majorUnit val="1"/>
        <c:minorUnit val="1"/>
      </c:dateAx>
      <c:spPr>
        <a:solidFill>
          <a:srgbClr val="FFFFFF"/>
        </a:solidFill>
      </c:spPr>
    </c:plotArea>
    <c:legend>
      <c:legendPos val="b"/>
      <c:overlay val="0"/>
    </c:legend>
    <c:plotVisOnly val="1"/>
    <c:dispBlanksAs val="zero"/>
    <c:showDLblsOverMax val="1"/>
  </c:chart>
  <c:txPr>
    <a:bodyPr/>
    <a:lstStyle/>
    <a:p>
      <a:pPr>
        <a:defRPr sz="900">
          <a:solidFill>
            <a:sysClr val="windowText" lastClr="000000"/>
          </a:solidFill>
          <a:latin typeface="Palatino Linotype" panose="0204050205050503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1378877924254"/>
          <c:y val="0.11632392478974667"/>
          <c:w val="0.80412160307559288"/>
          <c:h val="0.53750989177249364"/>
        </c:manualLayout>
      </c:layout>
      <c:lineChart>
        <c:grouping val="standard"/>
        <c:varyColors val="0"/>
        <c:ser>
          <c:idx val="0"/>
          <c:order val="0"/>
          <c:tx>
            <c:strRef>
              <c:f>'F9'!$B$2</c:f>
              <c:strCache>
                <c:ptCount val="1"/>
                <c:pt idx="0">
                  <c:v>BSE (Futures)</c:v>
                </c:pt>
              </c:strCache>
            </c:strRef>
          </c:tx>
          <c:spPr>
            <a:ln w="28575" cap="rnd">
              <a:solidFill>
                <a:srgbClr val="C00000"/>
              </a:solidFill>
              <a:round/>
            </a:ln>
            <a:effectLst/>
          </c:spPr>
          <c:marker>
            <c:symbol val="none"/>
          </c:marker>
          <c:cat>
            <c:numRef>
              <c:f>'F9'!$A$11:$A$22</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'F9'!$B$11:$B$26</c:f>
              <c:numCache>
                <c:formatCode>_(* #,##0.0_);_(* \(#,##0.0\);_(* "-"??_);_(@_)</c:formatCode>
                <c:ptCount val="16"/>
                <c:pt idx="0">
                  <c:v>4813.7728999999999</c:v>
                </c:pt>
                <c:pt idx="1">
                  <c:v>6208.3990000000003</c:v>
                </c:pt>
                <c:pt idx="2">
                  <c:v>5829.3091999999997</c:v>
                </c:pt>
                <c:pt idx="3">
                  <c:v>11042.703600000001</c:v>
                </c:pt>
                <c:pt idx="4">
                  <c:v>2394.6293999999998</c:v>
                </c:pt>
                <c:pt idx="5">
                  <c:v>1898.7684999999999</c:v>
                </c:pt>
                <c:pt idx="6">
                  <c:v>4307.7403000000004</c:v>
                </c:pt>
                <c:pt idx="7">
                  <c:v>4082.3089</c:v>
                </c:pt>
                <c:pt idx="8">
                  <c:v>1339.4258</c:v>
                </c:pt>
                <c:pt idx="9">
                  <c:v>618.83699999999999</c:v>
                </c:pt>
                <c:pt idx="10">
                  <c:v>1949.4366000000005</c:v>
                </c:pt>
                <c:pt idx="11">
                  <c:v>3284.3459999999995</c:v>
                </c:pt>
              </c:numCache>
            </c:numRef>
          </c:val>
          <c:smooth val="0"/>
          <c:extLst>
            <c:ext xmlns:c16="http://schemas.microsoft.com/office/drawing/2014/chart" uri="{C3380CC4-5D6E-409C-BE32-E72D297353CC}">
              <c16:uniqueId val="{00000000-5C18-4E71-A2AD-38817756FA04}"/>
            </c:ext>
          </c:extLst>
        </c:ser>
        <c:ser>
          <c:idx val="1"/>
          <c:order val="1"/>
          <c:tx>
            <c:strRef>
              <c:f>'F9'!$C$2</c:f>
              <c:strCache>
                <c:ptCount val="1"/>
                <c:pt idx="0">
                  <c:v>NSE (Futures and Options)</c:v>
                </c:pt>
              </c:strCache>
            </c:strRef>
          </c:tx>
          <c:spPr>
            <a:ln w="28575" cap="rnd">
              <a:solidFill>
                <a:srgbClr val="00B050"/>
              </a:solidFill>
              <a:round/>
            </a:ln>
            <a:effectLst/>
          </c:spPr>
          <c:marker>
            <c:symbol val="none"/>
          </c:marker>
          <c:cat>
            <c:numRef>
              <c:f>'F9'!$A$11:$A$22</c:f>
              <c:numCache>
                <c:formatCode>[$-409]mmm\-yy</c:formatCode>
                <c:ptCount val="12"/>
                <c:pt idx="0">
                  <c:v>43809</c:v>
                </c:pt>
                <c:pt idx="1">
                  <c:v>43840</c:v>
                </c:pt>
                <c:pt idx="2">
                  <c:v>43871</c:v>
                </c:pt>
                <c:pt idx="3">
                  <c:v>43900</c:v>
                </c:pt>
                <c:pt idx="4">
                  <c:v>43931</c:v>
                </c:pt>
                <c:pt idx="5">
                  <c:v>43961</c:v>
                </c:pt>
                <c:pt idx="6">
                  <c:v>43992</c:v>
                </c:pt>
                <c:pt idx="7">
                  <c:v>44022</c:v>
                </c:pt>
                <c:pt idx="8">
                  <c:v>44053</c:v>
                </c:pt>
                <c:pt idx="9">
                  <c:v>44084</c:v>
                </c:pt>
                <c:pt idx="10">
                  <c:v>44114</c:v>
                </c:pt>
                <c:pt idx="11">
                  <c:v>44145</c:v>
                </c:pt>
              </c:numCache>
            </c:numRef>
          </c:cat>
          <c:val>
            <c:numRef>
              <c:f>'F9'!$C$11:$C$26</c:f>
              <c:numCache>
                <c:formatCode>_(* #,##0.0_);_(* \(#,##0.0\);_(* "-"??_);_(@_)</c:formatCode>
                <c:ptCount val="16"/>
                <c:pt idx="0">
                  <c:v>31363.76467</c:v>
                </c:pt>
                <c:pt idx="1">
                  <c:v>26807.170719999998</c:v>
                </c:pt>
                <c:pt idx="2">
                  <c:v>30879.879639999999</c:v>
                </c:pt>
                <c:pt idx="3">
                  <c:v>33798.002293999991</c:v>
                </c:pt>
                <c:pt idx="4">
                  <c:v>9733.7467485000016</c:v>
                </c:pt>
                <c:pt idx="5">
                  <c:v>12197.847997499997</c:v>
                </c:pt>
                <c:pt idx="6">
                  <c:v>16790.040404000003</c:v>
                </c:pt>
                <c:pt idx="7">
                  <c:v>11477.779758999999</c:v>
                </c:pt>
                <c:pt idx="8">
                  <c:v>8836.0223354999998</c:v>
                </c:pt>
                <c:pt idx="9">
                  <c:v>7968.2005550000003</c:v>
                </c:pt>
                <c:pt idx="10">
                  <c:v>5969.361613</c:v>
                </c:pt>
                <c:pt idx="11">
                  <c:v>3735.2176584999997</c:v>
                </c:pt>
              </c:numCache>
            </c:numRef>
          </c:val>
          <c:smooth val="0"/>
          <c:extLst>
            <c:ext xmlns:c16="http://schemas.microsoft.com/office/drawing/2014/chart" uri="{C3380CC4-5D6E-409C-BE32-E72D297353CC}">
              <c16:uniqueId val="{00000001-5C18-4E71-A2AD-38817756FA04}"/>
            </c:ext>
          </c:extLst>
        </c:ser>
        <c:dLbls>
          <c:showLegendKey val="0"/>
          <c:showVal val="0"/>
          <c:showCatName val="0"/>
          <c:showSerName val="0"/>
          <c:showPercent val="0"/>
          <c:showBubbleSize val="0"/>
        </c:dLbls>
        <c:smooth val="0"/>
        <c:axId val="945329360"/>
        <c:axId val="945325440"/>
      </c:lineChart>
      <c:dateAx>
        <c:axId val="94532936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945325440"/>
        <c:crosses val="autoZero"/>
        <c:auto val="1"/>
        <c:lblOffset val="100"/>
        <c:baseTimeUnit val="months"/>
      </c:dateAx>
      <c:valAx>
        <c:axId val="945325440"/>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GB"/>
                  <a:t>₹</a:t>
                </a:r>
                <a:r>
                  <a:rPr lang="en-US"/>
                  <a:t> crore</a:t>
                </a:r>
                <a:endParaRPr lang="en-IN"/>
              </a:p>
            </c:rich>
          </c:tx>
          <c:layout>
            <c:manualLayout>
              <c:xMode val="edge"/>
              <c:yMode val="edge"/>
              <c:x val="1.5892897876355713E-2"/>
              <c:y val="0.33094859503579049"/>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945329360"/>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2.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74CF5-52D4-4685-80EC-6F1B86646A89}">
  <ds:schemaRefs/>
</ds:datastoreItem>
</file>

<file path=customXml/itemProps2.xml><?xml version="1.0" encoding="utf-8"?>
<ds:datastoreItem xmlns:ds="http://schemas.openxmlformats.org/officeDocument/2006/customXml" ds:itemID="{982F008C-5608-4977-B1FB-BF780A09BDC2}">
  <ds:schemaRefs/>
</ds:datastoreItem>
</file>

<file path=customXml/itemProps3.xml><?xml version="1.0" encoding="utf-8"?>
<ds:datastoreItem xmlns:ds="http://schemas.openxmlformats.org/officeDocument/2006/customXml" ds:itemID="{BE102732-29DC-483D-B1C7-6090138FA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13545</Words>
  <Characters>77211</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Nilima Karandikar</cp:lastModifiedBy>
  <cp:revision>2</cp:revision>
  <cp:lastPrinted>2019-03-19T09:59:00Z</cp:lastPrinted>
  <dcterms:created xsi:type="dcterms:W3CDTF">2021-01-13T06:47:00Z</dcterms:created>
  <dcterms:modified xsi:type="dcterms:W3CDTF">2021-01-13T06:47:00Z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SEBI-INTERNAL</vt:lpwstr>
  </property>
  <property fmtid="{D5CDD505-2E9C-101B-9397-08002B2CF9AE}" pid="3" name="Rules">
    <vt:lpwstr/>
  </property>
  <property fmtid="{D5CDD505-2E9C-101B-9397-08002B2CF9AE}" pid="4" name="KID">
    <vt:lpwstr>7427EA48EFCA637066619672483538</vt:lpwstr>
  </property>
</Properties>
</file>